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imes New Roman" w:hAnsi="Times New Roman" w:eastAsia="宋体" w:cs="Times New Roman"/>
          <w:color w:val="auto"/>
          <w:lang w:eastAsia="zh-CN"/>
        </w:rPr>
      </w:pPr>
      <w:bookmarkStart w:id="0" w:name="_Toc25381281"/>
      <w:bookmarkStart w:id="1" w:name="_Toc25381023"/>
      <w:bookmarkStart w:id="2" w:name="_Toc51061310"/>
      <w:bookmarkStart w:id="3" w:name="_Toc51060421"/>
      <w:bookmarkStart w:id="4" w:name="_Toc238112356"/>
      <w:bookmarkStart w:id="5" w:name="_Toc238852233"/>
      <w:bookmarkStart w:id="6" w:name="_Toc239368921"/>
    </w:p>
    <w:bookmarkEnd w:id="0"/>
    <w:bookmarkEnd w:id="1"/>
    <w:p>
      <w:pPr>
        <w:pStyle w:val="32"/>
        <w:bidi w:val="0"/>
        <w:outlineLvl w:val="0"/>
        <w:rPr>
          <w:rFonts w:hint="default" w:ascii="Times New Roman" w:hAnsi="Times New Roman" w:eastAsia="宋体" w:cs="Times New Roman"/>
          <w:color w:val="auto"/>
          <w:lang w:val="en-US" w:eastAsia="zh-CN"/>
        </w:rPr>
      </w:pPr>
      <w:bookmarkStart w:id="7" w:name="_Toc30326"/>
      <w:r>
        <w:rPr>
          <w:rFonts w:hint="default" w:ascii="Times New Roman" w:hAnsi="Times New Roman" w:eastAsia="宋体" w:cs="Times New Roman"/>
          <w:color w:val="auto"/>
          <w:lang w:val="en-US" w:eastAsia="zh-CN"/>
        </w:rPr>
        <w:t>目录</w:t>
      </w:r>
      <w:bookmarkEnd w:id="7"/>
    </w:p>
    <w:p>
      <w:pPr>
        <w:pStyle w:val="17"/>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color w:val="auto"/>
        </w:rPr>
        <w:instrText xml:space="preserve">TOC \o "1-2" \h \u </w:instrText>
      </w:r>
      <w:r>
        <w:rPr>
          <w:rFonts w:hint="default" w:ascii="Times New Roman" w:hAnsi="Times New Roman" w:eastAsia="宋体" w:cs="Times New Roman"/>
          <w:color w:val="auto"/>
        </w:rPr>
        <w:fldChar w:fldCharType="separate"/>
      </w: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_Toc30326 </w:instrText>
      </w:r>
      <w:r>
        <w:rPr>
          <w:rFonts w:hint="default" w:ascii="Times New Roman" w:hAnsi="Times New Roman" w:eastAsia="宋体" w:cs="Times New Roman"/>
        </w:rPr>
        <w:fldChar w:fldCharType="separate"/>
      </w:r>
      <w:r>
        <w:rPr>
          <w:rFonts w:hint="default" w:ascii="Times New Roman" w:hAnsi="Times New Roman" w:eastAsia="宋体" w:cs="Times New Roman"/>
          <w:lang w:val="en-US" w:eastAsia="zh-CN"/>
        </w:rPr>
        <w:t>目录</w:t>
      </w:r>
      <w:r>
        <w:tab/>
      </w:r>
      <w:r>
        <w:fldChar w:fldCharType="begin"/>
      </w:r>
      <w:r>
        <w:instrText xml:space="preserve"> PAGEREF _Toc30326 \h </w:instrText>
      </w:r>
      <w:r>
        <w:fldChar w:fldCharType="separate"/>
      </w:r>
      <w:r>
        <w:t>1</w:t>
      </w:r>
      <w:r>
        <w:fldChar w:fldCharType="end"/>
      </w:r>
      <w:r>
        <w:rPr>
          <w:rFonts w:hint="default" w:ascii="Times New Roman" w:hAnsi="Times New Roman" w:eastAsia="宋体" w:cs="Times New Roman"/>
          <w:color w:val="auto"/>
        </w:rPr>
        <w:fldChar w:fldCharType="end"/>
      </w:r>
    </w:p>
    <w:p>
      <w:pPr>
        <w:pStyle w:val="17"/>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_Toc13778 </w:instrText>
      </w:r>
      <w:r>
        <w:rPr>
          <w:rFonts w:hint="default" w:ascii="Times New Roman" w:hAnsi="Times New Roman" w:eastAsia="宋体" w:cs="Times New Roman"/>
        </w:rPr>
        <w:fldChar w:fldCharType="separate"/>
      </w:r>
      <w:r>
        <w:rPr>
          <w:rFonts w:hint="eastAsia" w:eastAsia="宋体" w:cs="Times New Roman"/>
          <w:lang w:val="en-US" w:eastAsia="zh-CN"/>
        </w:rPr>
        <w:t>1</w:t>
      </w:r>
      <w:r>
        <w:rPr>
          <w:rFonts w:hint="eastAsia" w:eastAsia="宋体" w:cs="Times New Roman"/>
          <w:lang w:eastAsia="zh-CN"/>
        </w:rPr>
        <w:t>综合说明</w:t>
      </w:r>
      <w:r>
        <w:tab/>
      </w:r>
      <w:r>
        <w:fldChar w:fldCharType="begin"/>
      </w:r>
      <w:r>
        <w:instrText xml:space="preserve"> PAGEREF _Toc13778 \h </w:instrText>
      </w:r>
      <w:r>
        <w:fldChar w:fldCharType="separate"/>
      </w:r>
      <w:r>
        <w:t>2</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_Toc18467 </w:instrText>
      </w:r>
      <w:r>
        <w:rPr>
          <w:rFonts w:hint="default" w:ascii="Times New Roman" w:hAnsi="Times New Roman" w:eastAsia="宋体" w:cs="Times New Roman"/>
        </w:rPr>
        <w:fldChar w:fldCharType="separate"/>
      </w:r>
      <w:r>
        <w:rPr>
          <w:rFonts w:hint="default"/>
        </w:rPr>
        <w:t>1.1项目背景</w:t>
      </w:r>
      <w:r>
        <w:tab/>
      </w:r>
      <w:r>
        <w:fldChar w:fldCharType="begin"/>
      </w:r>
      <w:r>
        <w:instrText xml:space="preserve"> PAGEREF _Toc18467 \h </w:instrText>
      </w:r>
      <w:r>
        <w:fldChar w:fldCharType="separate"/>
      </w:r>
      <w:r>
        <w:t>2</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_Toc29040 </w:instrText>
      </w:r>
      <w:r>
        <w:rPr>
          <w:rFonts w:hint="default" w:ascii="Times New Roman" w:hAnsi="Times New Roman" w:eastAsia="宋体" w:cs="Times New Roman"/>
        </w:rPr>
        <w:fldChar w:fldCharType="separate"/>
      </w:r>
      <w:r>
        <w:rPr>
          <w:rFonts w:hint="eastAsia"/>
          <w:lang w:val="en-US" w:eastAsia="zh-CN"/>
        </w:rPr>
        <w:t>1.2</w:t>
      </w:r>
      <w:r>
        <w:rPr>
          <w:rFonts w:hint="default"/>
          <w:lang w:val="en-US" w:eastAsia="zh-CN"/>
        </w:rPr>
        <w:t>指导思想</w:t>
      </w:r>
      <w:r>
        <w:tab/>
      </w:r>
      <w:r>
        <w:fldChar w:fldCharType="begin"/>
      </w:r>
      <w:r>
        <w:instrText xml:space="preserve"> PAGEREF _Toc29040 \h </w:instrText>
      </w:r>
      <w:r>
        <w:fldChar w:fldCharType="separate"/>
      </w:r>
      <w:r>
        <w:t>2</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_Toc8316 </w:instrText>
      </w:r>
      <w:r>
        <w:rPr>
          <w:rFonts w:hint="default" w:ascii="Times New Roman" w:hAnsi="Times New Roman" w:eastAsia="宋体" w:cs="Times New Roman"/>
        </w:rPr>
        <w:fldChar w:fldCharType="separate"/>
      </w:r>
      <w:r>
        <w:rPr>
          <w:rFonts w:hint="eastAsia"/>
          <w:lang w:val="en-US" w:eastAsia="zh-CN"/>
        </w:rPr>
        <w:t>1.3</w:t>
      </w:r>
      <w:r>
        <w:rPr>
          <w:rFonts w:hint="default"/>
          <w:lang w:val="en-US" w:eastAsia="zh-CN"/>
        </w:rPr>
        <w:t>设计依据</w:t>
      </w:r>
      <w:r>
        <w:tab/>
      </w:r>
      <w:r>
        <w:fldChar w:fldCharType="begin"/>
      </w:r>
      <w:r>
        <w:instrText xml:space="preserve"> PAGEREF _Toc8316 \h </w:instrText>
      </w:r>
      <w:r>
        <w:fldChar w:fldCharType="separate"/>
      </w:r>
      <w:r>
        <w:t>2</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_Toc28528 </w:instrText>
      </w:r>
      <w:r>
        <w:rPr>
          <w:rFonts w:hint="default" w:ascii="Times New Roman" w:hAnsi="Times New Roman" w:eastAsia="宋体" w:cs="Times New Roman"/>
        </w:rPr>
        <w:fldChar w:fldCharType="separate"/>
      </w:r>
      <w:r>
        <w:rPr>
          <w:rFonts w:hint="eastAsia"/>
          <w:lang w:val="en-US" w:eastAsia="zh-CN"/>
        </w:rPr>
        <w:t>1.4设计原则</w:t>
      </w:r>
      <w:r>
        <w:tab/>
      </w:r>
      <w:r>
        <w:fldChar w:fldCharType="begin"/>
      </w:r>
      <w:r>
        <w:instrText xml:space="preserve"> PAGEREF _Toc28528 \h </w:instrText>
      </w:r>
      <w:r>
        <w:fldChar w:fldCharType="separate"/>
      </w:r>
      <w:r>
        <w:t>2</w:t>
      </w:r>
      <w:r>
        <w:fldChar w:fldCharType="end"/>
      </w:r>
      <w:r>
        <w:rPr>
          <w:rFonts w:hint="default" w:ascii="Times New Roman" w:hAnsi="Times New Roman" w:eastAsia="宋体" w:cs="Times New Roman"/>
          <w:color w:val="auto"/>
        </w:rPr>
        <w:fldChar w:fldCharType="end"/>
      </w:r>
    </w:p>
    <w:p>
      <w:pPr>
        <w:pStyle w:val="17"/>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_Toc6011 </w:instrText>
      </w:r>
      <w:r>
        <w:rPr>
          <w:rFonts w:hint="default" w:ascii="Times New Roman" w:hAnsi="Times New Roman" w:eastAsia="宋体" w:cs="Times New Roman"/>
        </w:rPr>
        <w:fldChar w:fldCharType="separate"/>
      </w:r>
      <w:r>
        <w:rPr>
          <w:rFonts w:hint="eastAsia" w:eastAsia="宋体" w:cs="Times New Roman"/>
          <w:lang w:val="en-US" w:eastAsia="zh-CN"/>
        </w:rPr>
        <w:t>2</w:t>
      </w:r>
      <w:r>
        <w:rPr>
          <w:rFonts w:hint="default" w:ascii="Times New Roman" w:hAnsi="Times New Roman" w:eastAsia="宋体" w:cs="Times New Roman"/>
        </w:rPr>
        <w:t>设计</w:t>
      </w:r>
      <w:r>
        <w:rPr>
          <w:rFonts w:hint="eastAsia" w:eastAsia="宋体" w:cs="Times New Roman"/>
          <w:lang w:eastAsia="zh-CN"/>
        </w:rPr>
        <w:t>方案</w:t>
      </w:r>
      <w:r>
        <w:tab/>
      </w:r>
      <w:r>
        <w:fldChar w:fldCharType="begin"/>
      </w:r>
      <w:r>
        <w:instrText xml:space="preserve"> PAGEREF _Toc6011 \h </w:instrText>
      </w:r>
      <w:r>
        <w:fldChar w:fldCharType="separate"/>
      </w:r>
      <w:r>
        <w:t>2</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_Toc9496 </w:instrText>
      </w:r>
      <w:r>
        <w:rPr>
          <w:rFonts w:hint="default" w:ascii="Times New Roman" w:hAnsi="Times New Roman" w:eastAsia="宋体" w:cs="Times New Roman"/>
        </w:rPr>
        <w:fldChar w:fldCharType="separate"/>
      </w:r>
      <w:r>
        <w:rPr>
          <w:rFonts w:hint="eastAsia"/>
          <w:lang w:val="en-US" w:eastAsia="zh-CN"/>
        </w:rPr>
        <w:t>2</w:t>
      </w:r>
      <w:r>
        <w:rPr>
          <w:rFonts w:hint="default"/>
          <w:lang w:val="en-US" w:eastAsia="zh-CN"/>
        </w:rPr>
        <w:t>.1</w:t>
      </w:r>
      <w:r>
        <w:rPr>
          <w:rFonts w:hint="eastAsia"/>
          <w:lang w:val="en-US" w:eastAsia="zh-CN"/>
        </w:rPr>
        <w:t>污染底泥清理工程</w:t>
      </w:r>
      <w:r>
        <w:tab/>
      </w:r>
      <w:r>
        <w:fldChar w:fldCharType="begin"/>
      </w:r>
      <w:r>
        <w:instrText xml:space="preserve"> PAGEREF _Toc9496 \h </w:instrText>
      </w:r>
      <w:r>
        <w:fldChar w:fldCharType="separate"/>
      </w:r>
      <w:r>
        <w:t>2</w:t>
      </w:r>
      <w:r>
        <w:fldChar w:fldCharType="end"/>
      </w:r>
      <w:r>
        <w:rPr>
          <w:rFonts w:hint="default" w:ascii="Times New Roman" w:hAnsi="Times New Roman" w:eastAsia="宋体" w:cs="Times New Roman"/>
          <w:color w:val="auto"/>
        </w:rPr>
        <w:fldChar w:fldCharType="end"/>
      </w:r>
    </w:p>
    <w:p>
      <w:pPr>
        <w:pStyle w:val="17"/>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_Toc23993 </w:instrText>
      </w:r>
      <w:r>
        <w:rPr>
          <w:rFonts w:hint="default" w:ascii="Times New Roman" w:hAnsi="Times New Roman" w:eastAsia="宋体" w:cs="Times New Roman"/>
        </w:rPr>
        <w:fldChar w:fldCharType="separate"/>
      </w:r>
      <w:r>
        <w:rPr>
          <w:rFonts w:hint="eastAsia" w:eastAsia="宋体" w:cs="Times New Roman"/>
          <w:lang w:val="en-US" w:eastAsia="zh-CN"/>
        </w:rPr>
        <w:t>3</w:t>
      </w:r>
      <w:r>
        <w:rPr>
          <w:rFonts w:hint="default" w:ascii="Times New Roman" w:hAnsi="Times New Roman" w:eastAsia="宋体" w:cs="Times New Roman"/>
        </w:rPr>
        <w:t>项目概况</w:t>
      </w:r>
      <w:r>
        <w:tab/>
      </w:r>
      <w:r>
        <w:fldChar w:fldCharType="begin"/>
      </w:r>
      <w:r>
        <w:instrText xml:space="preserve"> PAGEREF _Toc23993 \h </w:instrText>
      </w:r>
      <w:r>
        <w:fldChar w:fldCharType="separate"/>
      </w:r>
      <w:r>
        <w:t>3</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_Toc30553 </w:instrText>
      </w:r>
      <w:r>
        <w:rPr>
          <w:rFonts w:hint="default" w:ascii="Times New Roman" w:hAnsi="Times New Roman" w:eastAsia="宋体" w:cs="Times New Roman"/>
        </w:rPr>
        <w:fldChar w:fldCharType="separate"/>
      </w:r>
      <w:r>
        <w:rPr>
          <w:rFonts w:hint="eastAsia"/>
          <w:lang w:val="en-US" w:eastAsia="zh-CN"/>
        </w:rPr>
        <w:t>3</w:t>
      </w:r>
      <w:r>
        <w:rPr>
          <w:rFonts w:hint="default"/>
        </w:rPr>
        <w:t>.1</w:t>
      </w:r>
      <w:r>
        <w:rPr>
          <w:rFonts w:hint="default"/>
          <w:lang w:eastAsia="zh-CN"/>
        </w:rPr>
        <w:t>项目区</w:t>
      </w:r>
      <w:r>
        <w:rPr>
          <w:rFonts w:hint="default"/>
        </w:rPr>
        <w:t>概况</w:t>
      </w:r>
      <w:r>
        <w:tab/>
      </w:r>
      <w:r>
        <w:fldChar w:fldCharType="begin"/>
      </w:r>
      <w:r>
        <w:instrText xml:space="preserve"> PAGEREF _Toc30553 \h </w:instrText>
      </w:r>
      <w:r>
        <w:fldChar w:fldCharType="separate"/>
      </w:r>
      <w:r>
        <w:t>3</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_Toc26654 </w:instrText>
      </w:r>
      <w:r>
        <w:rPr>
          <w:rFonts w:hint="default" w:ascii="Times New Roman" w:hAnsi="Times New Roman" w:eastAsia="宋体" w:cs="Times New Roman"/>
        </w:rPr>
        <w:fldChar w:fldCharType="separate"/>
      </w:r>
      <w:r>
        <w:rPr>
          <w:rFonts w:hint="eastAsia"/>
          <w:lang w:val="en-US" w:eastAsia="zh-CN"/>
        </w:rPr>
        <w:t>3</w:t>
      </w:r>
      <w:r>
        <w:rPr>
          <w:rFonts w:hint="default"/>
        </w:rPr>
        <w:t>.</w:t>
      </w:r>
      <w:r>
        <w:rPr>
          <w:rFonts w:hint="eastAsia"/>
          <w:lang w:val="en-US" w:eastAsia="zh-CN"/>
        </w:rPr>
        <w:t>2</w:t>
      </w:r>
      <w:r>
        <w:rPr>
          <w:rFonts w:hint="default"/>
        </w:rPr>
        <w:t>水文气象</w:t>
      </w:r>
      <w:r>
        <w:tab/>
      </w:r>
      <w:r>
        <w:fldChar w:fldCharType="begin"/>
      </w:r>
      <w:r>
        <w:instrText xml:space="preserve"> PAGEREF _Toc26654 \h </w:instrText>
      </w:r>
      <w:r>
        <w:fldChar w:fldCharType="separate"/>
      </w:r>
      <w:r>
        <w:t>3</w:t>
      </w:r>
      <w:r>
        <w:fldChar w:fldCharType="end"/>
      </w:r>
      <w:r>
        <w:rPr>
          <w:rFonts w:hint="default" w:ascii="Times New Roman" w:hAnsi="Times New Roman" w:eastAsia="宋体" w:cs="Times New Roman"/>
          <w:color w:val="auto"/>
        </w:rPr>
        <w:fldChar w:fldCharType="end"/>
      </w:r>
    </w:p>
    <w:p>
      <w:pPr>
        <w:pStyle w:val="17"/>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_Toc1110 </w:instrText>
      </w:r>
      <w:r>
        <w:rPr>
          <w:rFonts w:hint="default" w:ascii="Times New Roman" w:hAnsi="Times New Roman" w:eastAsia="宋体" w:cs="Times New Roman"/>
        </w:rPr>
        <w:fldChar w:fldCharType="separate"/>
      </w:r>
      <w:r>
        <w:rPr>
          <w:rFonts w:hint="eastAsia" w:eastAsia="宋体" w:cs="Times New Roman"/>
          <w:lang w:val="en-US" w:eastAsia="zh-CN"/>
        </w:rPr>
        <w:t>4建设任务与目标</w:t>
      </w:r>
      <w:r>
        <w:tab/>
      </w:r>
      <w:r>
        <w:fldChar w:fldCharType="begin"/>
      </w:r>
      <w:r>
        <w:instrText xml:space="preserve"> PAGEREF _Toc1110 \h </w:instrText>
      </w:r>
      <w:r>
        <w:fldChar w:fldCharType="separate"/>
      </w:r>
      <w:r>
        <w:t>4</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_Toc11721 </w:instrText>
      </w:r>
      <w:r>
        <w:rPr>
          <w:rFonts w:hint="default" w:ascii="Times New Roman" w:hAnsi="Times New Roman" w:eastAsia="宋体" w:cs="Times New Roman"/>
        </w:rPr>
        <w:fldChar w:fldCharType="separate"/>
      </w:r>
      <w:r>
        <w:rPr>
          <w:rFonts w:hint="eastAsia"/>
          <w:lang w:val="en-US" w:eastAsia="zh-CN"/>
        </w:rPr>
        <w:t>4.1</w:t>
      </w:r>
      <w:r>
        <w:rPr>
          <w:rFonts w:hint="default"/>
          <w:lang w:val="en-GB" w:eastAsia="zh-CN"/>
        </w:rPr>
        <w:t>主要建设内容</w:t>
      </w:r>
      <w:r>
        <w:tab/>
      </w:r>
      <w:r>
        <w:fldChar w:fldCharType="begin"/>
      </w:r>
      <w:r>
        <w:instrText xml:space="preserve"> PAGEREF _Toc11721 \h </w:instrText>
      </w:r>
      <w:r>
        <w:fldChar w:fldCharType="separate"/>
      </w:r>
      <w:r>
        <w:t>4</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_Toc6669 </w:instrText>
      </w:r>
      <w:r>
        <w:rPr>
          <w:rFonts w:hint="default" w:ascii="Times New Roman" w:hAnsi="Times New Roman" w:eastAsia="宋体" w:cs="Times New Roman"/>
        </w:rPr>
        <w:fldChar w:fldCharType="separate"/>
      </w:r>
      <w:r>
        <w:rPr>
          <w:rFonts w:hint="eastAsia"/>
          <w:highlight w:val="none"/>
          <w:lang w:val="en-US" w:eastAsia="zh-CN"/>
        </w:rPr>
        <w:t>4.2项目治理区域及目标</w:t>
      </w:r>
      <w:r>
        <w:tab/>
      </w:r>
      <w:r>
        <w:fldChar w:fldCharType="begin"/>
      </w:r>
      <w:r>
        <w:instrText xml:space="preserve"> PAGEREF _Toc6669 \h </w:instrText>
      </w:r>
      <w:r>
        <w:fldChar w:fldCharType="separate"/>
      </w:r>
      <w:r>
        <w:t>4</w:t>
      </w:r>
      <w:r>
        <w:fldChar w:fldCharType="end"/>
      </w:r>
      <w:r>
        <w:rPr>
          <w:rFonts w:hint="default" w:ascii="Times New Roman" w:hAnsi="Times New Roman" w:eastAsia="宋体" w:cs="Times New Roman"/>
          <w:color w:val="auto"/>
        </w:rPr>
        <w:fldChar w:fldCharType="end"/>
      </w:r>
    </w:p>
    <w:p>
      <w:pPr>
        <w:pStyle w:val="17"/>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_Toc12955 </w:instrText>
      </w:r>
      <w:r>
        <w:rPr>
          <w:rFonts w:hint="default" w:ascii="Times New Roman" w:hAnsi="Times New Roman" w:eastAsia="宋体" w:cs="Times New Roman"/>
        </w:rPr>
        <w:fldChar w:fldCharType="separate"/>
      </w:r>
      <w:r>
        <w:rPr>
          <w:rFonts w:hint="eastAsia"/>
          <w:lang w:val="en-US" w:eastAsia="zh-CN"/>
        </w:rPr>
        <w:t>5</w:t>
      </w:r>
      <w:r>
        <w:rPr>
          <w:rFonts w:hint="default"/>
          <w:lang w:val="en-US" w:eastAsia="zh-CN"/>
        </w:rPr>
        <w:t>工程管理</w:t>
      </w:r>
      <w:r>
        <w:tab/>
      </w:r>
      <w:r>
        <w:fldChar w:fldCharType="begin"/>
      </w:r>
      <w:r>
        <w:instrText xml:space="preserve"> PAGEREF _Toc12955 \h </w:instrText>
      </w:r>
      <w:r>
        <w:fldChar w:fldCharType="separate"/>
      </w:r>
      <w:r>
        <w:t>5</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_Toc19277 </w:instrText>
      </w:r>
      <w:r>
        <w:rPr>
          <w:rFonts w:hint="default" w:ascii="Times New Roman" w:hAnsi="Times New Roman" w:eastAsia="宋体" w:cs="Times New Roman"/>
        </w:rPr>
        <w:fldChar w:fldCharType="separate"/>
      </w:r>
      <w:r>
        <w:rPr>
          <w:rFonts w:hint="eastAsia"/>
          <w:lang w:val="en-US" w:eastAsia="zh-CN"/>
        </w:rPr>
        <w:t>5</w:t>
      </w:r>
      <w:r>
        <w:rPr>
          <w:rFonts w:hint="eastAsia"/>
          <w:lang w:eastAsia="zh-CN"/>
        </w:rPr>
        <w:t>.</w:t>
      </w:r>
      <w:r>
        <w:rPr>
          <w:rFonts w:hint="default"/>
        </w:rPr>
        <w:t>1</w:t>
      </w:r>
      <w:r>
        <w:rPr>
          <w:rFonts w:hint="default"/>
          <w:lang w:eastAsia="zh-CN"/>
        </w:rPr>
        <w:t>工程建设管理</w:t>
      </w:r>
      <w:r>
        <w:tab/>
      </w:r>
      <w:r>
        <w:fldChar w:fldCharType="begin"/>
      </w:r>
      <w:r>
        <w:instrText xml:space="preserve"> PAGEREF _Toc19277 \h </w:instrText>
      </w:r>
      <w:r>
        <w:fldChar w:fldCharType="separate"/>
      </w:r>
      <w:r>
        <w:t>5</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_Toc10962 </w:instrText>
      </w:r>
      <w:r>
        <w:rPr>
          <w:rFonts w:hint="default" w:ascii="Times New Roman" w:hAnsi="Times New Roman" w:eastAsia="宋体" w:cs="Times New Roman"/>
        </w:rPr>
        <w:fldChar w:fldCharType="separate"/>
      </w:r>
      <w:r>
        <w:rPr>
          <w:rFonts w:hint="eastAsia"/>
          <w:lang w:val="en-US" w:eastAsia="zh-CN"/>
        </w:rPr>
        <w:t>5</w:t>
      </w:r>
      <w:r>
        <w:rPr>
          <w:rFonts w:hint="eastAsia"/>
          <w:lang w:eastAsia="zh-CN"/>
        </w:rPr>
        <w:t>.</w:t>
      </w:r>
      <w:r>
        <w:rPr>
          <w:rFonts w:hint="default"/>
        </w:rPr>
        <w:t>2</w:t>
      </w:r>
      <w:r>
        <w:rPr>
          <w:rFonts w:hint="default"/>
          <w:lang w:eastAsia="zh-CN"/>
        </w:rPr>
        <w:t>工程</w:t>
      </w:r>
      <w:r>
        <w:rPr>
          <w:rFonts w:hint="default"/>
        </w:rPr>
        <w:t>运行管理</w:t>
      </w:r>
      <w:r>
        <w:tab/>
      </w:r>
      <w:r>
        <w:fldChar w:fldCharType="begin"/>
      </w:r>
      <w:r>
        <w:instrText xml:space="preserve"> PAGEREF _Toc10962 \h </w:instrText>
      </w:r>
      <w:r>
        <w:fldChar w:fldCharType="separate"/>
      </w:r>
      <w:r>
        <w:t>5</w:t>
      </w:r>
      <w:r>
        <w:fldChar w:fldCharType="end"/>
      </w:r>
      <w:r>
        <w:rPr>
          <w:rFonts w:hint="default" w:ascii="Times New Roman" w:hAnsi="Times New Roman" w:eastAsia="宋体" w:cs="Times New Roman"/>
          <w:color w:val="auto"/>
        </w:rPr>
        <w:fldChar w:fldCharType="end"/>
      </w:r>
    </w:p>
    <w:p>
      <w:pPr>
        <w:pStyle w:val="17"/>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_Toc23906 </w:instrText>
      </w:r>
      <w:r>
        <w:rPr>
          <w:rFonts w:hint="default" w:ascii="Times New Roman" w:hAnsi="Times New Roman" w:eastAsia="宋体" w:cs="Times New Roman"/>
        </w:rPr>
        <w:fldChar w:fldCharType="separate"/>
      </w:r>
      <w:r>
        <w:rPr>
          <w:rFonts w:hint="eastAsia" w:eastAsia="宋体" w:cs="Times New Roman"/>
          <w:lang w:val="en-US" w:eastAsia="zh-CN"/>
        </w:rPr>
        <w:t>6</w:t>
      </w:r>
      <w:r>
        <w:rPr>
          <w:rFonts w:hint="default" w:ascii="Times New Roman" w:hAnsi="Times New Roman" w:eastAsia="宋体" w:cs="Times New Roman"/>
          <w:lang w:val="en-US" w:eastAsia="zh-CN"/>
        </w:rPr>
        <w:t>施工组织设计</w:t>
      </w:r>
      <w:r>
        <w:tab/>
      </w:r>
      <w:r>
        <w:fldChar w:fldCharType="begin"/>
      </w:r>
      <w:r>
        <w:instrText xml:space="preserve"> PAGEREF _Toc23906 \h </w:instrText>
      </w:r>
      <w:r>
        <w:fldChar w:fldCharType="separate"/>
      </w:r>
      <w:r>
        <w:t>5</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_Toc10371 </w:instrText>
      </w:r>
      <w:r>
        <w:rPr>
          <w:rFonts w:hint="default" w:ascii="Times New Roman" w:hAnsi="Times New Roman" w:eastAsia="宋体" w:cs="Times New Roman"/>
        </w:rPr>
        <w:fldChar w:fldCharType="separate"/>
      </w:r>
      <w:r>
        <w:rPr>
          <w:rFonts w:hint="eastAsia"/>
          <w:lang w:val="en-US" w:eastAsia="zh-CN"/>
        </w:rPr>
        <w:t>6</w:t>
      </w:r>
      <w:r>
        <w:rPr>
          <w:rFonts w:hint="default"/>
        </w:rPr>
        <w:t>.1</w:t>
      </w:r>
      <w:r>
        <w:rPr>
          <w:rFonts w:hint="default"/>
          <w:lang w:eastAsia="zh-CN"/>
        </w:rPr>
        <w:t>施工条件</w:t>
      </w:r>
      <w:r>
        <w:tab/>
      </w:r>
      <w:r>
        <w:fldChar w:fldCharType="begin"/>
      </w:r>
      <w:r>
        <w:instrText xml:space="preserve"> PAGEREF _Toc10371 \h </w:instrText>
      </w:r>
      <w:r>
        <w:fldChar w:fldCharType="separate"/>
      </w:r>
      <w:r>
        <w:t>5</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_Toc23583 </w:instrText>
      </w:r>
      <w:r>
        <w:rPr>
          <w:rFonts w:hint="default" w:ascii="Times New Roman" w:hAnsi="Times New Roman" w:eastAsia="宋体" w:cs="Times New Roman"/>
        </w:rPr>
        <w:fldChar w:fldCharType="separate"/>
      </w:r>
      <w:r>
        <w:rPr>
          <w:rFonts w:hint="eastAsia"/>
          <w:highlight w:val="none"/>
          <w:lang w:val="en-US" w:eastAsia="zh-CN"/>
        </w:rPr>
        <w:t>6</w:t>
      </w:r>
      <w:r>
        <w:rPr>
          <w:rFonts w:hint="default"/>
          <w:highlight w:val="none"/>
        </w:rPr>
        <w:t>.</w:t>
      </w:r>
      <w:r>
        <w:rPr>
          <w:rFonts w:hint="default"/>
          <w:highlight w:val="none"/>
          <w:lang w:val="en-US" w:eastAsia="zh-CN"/>
        </w:rPr>
        <w:t>2</w:t>
      </w:r>
      <w:r>
        <w:rPr>
          <w:rFonts w:hint="default"/>
          <w:highlight w:val="none"/>
          <w:lang w:eastAsia="zh-CN"/>
        </w:rPr>
        <w:t>主体工程施工</w:t>
      </w:r>
      <w:r>
        <w:tab/>
      </w:r>
      <w:r>
        <w:fldChar w:fldCharType="begin"/>
      </w:r>
      <w:r>
        <w:instrText xml:space="preserve"> PAGEREF _Toc23583 \h </w:instrText>
      </w:r>
      <w:r>
        <w:fldChar w:fldCharType="separate"/>
      </w:r>
      <w:r>
        <w:t>6</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_Toc2562 </w:instrText>
      </w:r>
      <w:r>
        <w:rPr>
          <w:rFonts w:hint="default" w:ascii="Times New Roman" w:hAnsi="Times New Roman" w:eastAsia="宋体" w:cs="Times New Roman"/>
        </w:rPr>
        <w:fldChar w:fldCharType="separate"/>
      </w:r>
      <w:r>
        <w:rPr>
          <w:rFonts w:hint="eastAsia" w:ascii="Times New Roman" w:hAnsi="Times New Roman" w:eastAsia="宋体" w:cs="Times New Roman"/>
          <w:lang w:val="en-US" w:eastAsia="zh-CN"/>
        </w:rPr>
        <w:t>6</w:t>
      </w:r>
      <w:r>
        <w:rPr>
          <w:rFonts w:hint="default" w:ascii="Times New Roman" w:hAnsi="Times New Roman" w:eastAsia="宋体" w:cs="Times New Roman"/>
        </w:rPr>
        <w:t>.</w:t>
      </w:r>
      <w:r>
        <w:rPr>
          <w:rFonts w:hint="default" w:ascii="Times New Roman" w:hAnsi="Times New Roman" w:eastAsia="宋体" w:cs="Times New Roman"/>
          <w:lang w:val="en-US" w:eastAsia="zh-CN"/>
        </w:rPr>
        <w:t>3</w:t>
      </w:r>
      <w:r>
        <w:rPr>
          <w:rFonts w:hint="default" w:ascii="Times New Roman" w:hAnsi="Times New Roman" w:eastAsia="宋体" w:cs="Times New Roman"/>
          <w:lang w:eastAsia="zh-CN"/>
        </w:rPr>
        <w:t>施工总布置</w:t>
      </w:r>
      <w:r>
        <w:tab/>
      </w:r>
      <w:r>
        <w:fldChar w:fldCharType="begin"/>
      </w:r>
      <w:r>
        <w:instrText xml:space="preserve"> PAGEREF _Toc2562 \h </w:instrText>
      </w:r>
      <w:r>
        <w:fldChar w:fldCharType="separate"/>
      </w:r>
      <w:r>
        <w:t>6</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_Toc20263 </w:instrText>
      </w:r>
      <w:r>
        <w:rPr>
          <w:rFonts w:hint="default" w:ascii="Times New Roman" w:hAnsi="Times New Roman" w:eastAsia="宋体" w:cs="Times New Roman"/>
        </w:rPr>
        <w:fldChar w:fldCharType="separate"/>
      </w:r>
      <w:r>
        <w:rPr>
          <w:rFonts w:hint="eastAsia" w:ascii="Times New Roman" w:hAnsi="Times New Roman" w:eastAsia="宋体" w:cs="Times New Roman"/>
          <w:highlight w:val="none"/>
          <w:lang w:val="en-US" w:eastAsia="zh-CN"/>
        </w:rPr>
        <w:t>6</w:t>
      </w:r>
      <w:r>
        <w:rPr>
          <w:rFonts w:hint="default" w:ascii="Times New Roman" w:hAnsi="Times New Roman" w:eastAsia="宋体" w:cs="Times New Roman"/>
          <w:highlight w:val="none"/>
          <w:lang w:val="en-US" w:eastAsia="zh-CN"/>
        </w:rPr>
        <w:t>.4主要技术供应</w:t>
      </w:r>
      <w:r>
        <w:tab/>
      </w:r>
      <w:r>
        <w:fldChar w:fldCharType="begin"/>
      </w:r>
      <w:r>
        <w:instrText xml:space="preserve"> PAGEREF _Toc20263 \h </w:instrText>
      </w:r>
      <w:r>
        <w:fldChar w:fldCharType="separate"/>
      </w:r>
      <w:r>
        <w:t>7</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_Toc22649 </w:instrText>
      </w:r>
      <w:r>
        <w:rPr>
          <w:rFonts w:hint="default" w:ascii="Times New Roman" w:hAnsi="Times New Roman" w:eastAsia="宋体" w:cs="Times New Roman"/>
        </w:rPr>
        <w:fldChar w:fldCharType="separate"/>
      </w:r>
      <w:r>
        <w:rPr>
          <w:rFonts w:hint="eastAsia" w:ascii="Times New Roman" w:hAnsi="Times New Roman" w:eastAsia="宋体" w:cs="Times New Roman"/>
          <w:highlight w:val="none"/>
          <w:lang w:val="en-US" w:eastAsia="zh-CN"/>
        </w:rPr>
        <w:t>6</w:t>
      </w:r>
      <w:r>
        <w:rPr>
          <w:rFonts w:hint="default" w:ascii="Times New Roman" w:hAnsi="Times New Roman" w:eastAsia="宋体" w:cs="Times New Roman"/>
          <w:highlight w:val="none"/>
          <w:lang w:val="en-US" w:eastAsia="zh-CN"/>
        </w:rPr>
        <w:t>.5施工总进度</w:t>
      </w:r>
      <w:r>
        <w:tab/>
      </w:r>
      <w:r>
        <w:fldChar w:fldCharType="begin"/>
      </w:r>
      <w:r>
        <w:instrText xml:space="preserve"> PAGEREF _Toc22649 \h </w:instrText>
      </w:r>
      <w:r>
        <w:fldChar w:fldCharType="separate"/>
      </w:r>
      <w:r>
        <w:t>7</w:t>
      </w:r>
      <w:r>
        <w:fldChar w:fldCharType="end"/>
      </w:r>
      <w:r>
        <w:rPr>
          <w:rFonts w:hint="default" w:ascii="Times New Roman" w:hAnsi="Times New Roman" w:eastAsia="宋体" w:cs="Times New Roman"/>
          <w:color w:val="auto"/>
        </w:rPr>
        <w:fldChar w:fldCharType="end"/>
      </w:r>
    </w:p>
    <w:p>
      <w:pPr>
        <w:pStyle w:val="17"/>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_Toc8879 </w:instrText>
      </w:r>
      <w:r>
        <w:rPr>
          <w:rFonts w:hint="default" w:ascii="Times New Roman" w:hAnsi="Times New Roman" w:eastAsia="宋体" w:cs="Times New Roman"/>
        </w:rPr>
        <w:fldChar w:fldCharType="separate"/>
      </w:r>
      <w:r>
        <w:rPr>
          <w:rFonts w:hint="eastAsia" w:eastAsia="宋体" w:cs="Times New Roman"/>
          <w:lang w:val="en-US" w:eastAsia="zh-CN"/>
        </w:rPr>
        <w:t>7概</w:t>
      </w:r>
      <w:r>
        <w:rPr>
          <w:rFonts w:hint="default" w:ascii="Times New Roman" w:hAnsi="Times New Roman" w:eastAsia="宋体" w:cs="Times New Roman"/>
          <w:lang w:val="en-US" w:eastAsia="zh-CN"/>
        </w:rPr>
        <w:t>算与资金筹措</w:t>
      </w:r>
      <w:r>
        <w:tab/>
      </w:r>
      <w:r>
        <w:fldChar w:fldCharType="begin"/>
      </w:r>
      <w:r>
        <w:instrText xml:space="preserve"> PAGEREF _Toc8879 \h </w:instrText>
      </w:r>
      <w:r>
        <w:fldChar w:fldCharType="separate"/>
      </w:r>
      <w:r>
        <w:t>8</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_Toc57 </w:instrText>
      </w:r>
      <w:r>
        <w:rPr>
          <w:rFonts w:hint="default" w:ascii="Times New Roman" w:hAnsi="Times New Roman" w:eastAsia="宋体" w:cs="Times New Roman"/>
        </w:rPr>
        <w:fldChar w:fldCharType="separate"/>
      </w:r>
      <w:r>
        <w:rPr>
          <w:rFonts w:hint="eastAsia" w:ascii="Times New Roman" w:hAnsi="Times New Roman" w:eastAsia="宋体" w:cs="Times New Roman"/>
          <w:lang w:val="en-US" w:eastAsia="zh-CN"/>
        </w:rPr>
        <w:t>7.</w:t>
      </w:r>
      <w:r>
        <w:rPr>
          <w:rFonts w:hint="default" w:ascii="Times New Roman" w:hAnsi="Times New Roman" w:eastAsia="宋体" w:cs="Times New Roman"/>
        </w:rPr>
        <w:t>1</w:t>
      </w:r>
      <w:r>
        <w:rPr>
          <w:rFonts w:hint="default" w:ascii="Times New Roman" w:hAnsi="Times New Roman" w:eastAsia="宋体" w:cs="Times New Roman"/>
          <w:lang w:eastAsia="zh-CN"/>
        </w:rPr>
        <w:t>编制依据及说明</w:t>
      </w:r>
      <w:r>
        <w:tab/>
      </w:r>
      <w:r>
        <w:fldChar w:fldCharType="begin"/>
      </w:r>
      <w:r>
        <w:instrText xml:space="preserve"> PAGEREF _Toc57 \h </w:instrText>
      </w:r>
      <w:r>
        <w:fldChar w:fldCharType="separate"/>
      </w:r>
      <w:r>
        <w:t>8</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_Toc9992 </w:instrText>
      </w:r>
      <w:r>
        <w:rPr>
          <w:rFonts w:hint="default" w:ascii="Times New Roman" w:hAnsi="Times New Roman" w:eastAsia="宋体" w:cs="Times New Roman"/>
        </w:rPr>
        <w:fldChar w:fldCharType="separate"/>
      </w:r>
      <w:r>
        <w:rPr>
          <w:rFonts w:hint="eastAsia"/>
          <w:highlight w:val="none"/>
          <w:lang w:val="en-US" w:eastAsia="zh-CN"/>
        </w:rPr>
        <w:t>7.</w:t>
      </w:r>
      <w:r>
        <w:rPr>
          <w:rFonts w:hint="default"/>
          <w:highlight w:val="none"/>
        </w:rPr>
        <w:t>2投资</w:t>
      </w:r>
      <w:r>
        <w:rPr>
          <w:rFonts w:hint="default"/>
          <w:highlight w:val="none"/>
          <w:lang w:eastAsia="zh-CN"/>
        </w:rPr>
        <w:t>预</w:t>
      </w:r>
      <w:r>
        <w:rPr>
          <w:rFonts w:hint="default"/>
          <w:highlight w:val="none"/>
        </w:rPr>
        <w:t>算</w:t>
      </w:r>
      <w:r>
        <w:tab/>
      </w:r>
      <w:r>
        <w:fldChar w:fldCharType="begin"/>
      </w:r>
      <w:r>
        <w:instrText xml:space="preserve"> PAGEREF _Toc9992 \h </w:instrText>
      </w:r>
      <w:r>
        <w:fldChar w:fldCharType="separate"/>
      </w:r>
      <w:r>
        <w:t>8</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pPr>
      <w:r>
        <w:rPr>
          <w:rFonts w:hint="default" w:ascii="Times New Roman" w:hAnsi="Times New Roman" w:eastAsia="宋体" w:cs="Times New Roman"/>
          <w:color w:val="auto"/>
        </w:rPr>
        <w:fldChar w:fldCharType="begin"/>
      </w:r>
      <w:r>
        <w:rPr>
          <w:rFonts w:hint="default" w:ascii="Times New Roman" w:hAnsi="Times New Roman" w:eastAsia="宋体" w:cs="Times New Roman"/>
        </w:rPr>
        <w:instrText xml:space="preserve"> HYPERLINK \l _Toc22665 </w:instrText>
      </w:r>
      <w:r>
        <w:rPr>
          <w:rFonts w:hint="default" w:ascii="Times New Roman" w:hAnsi="Times New Roman" w:eastAsia="宋体" w:cs="Times New Roman"/>
        </w:rPr>
        <w:fldChar w:fldCharType="separate"/>
      </w:r>
      <w:r>
        <w:rPr>
          <w:rFonts w:hint="eastAsia"/>
          <w:highlight w:val="none"/>
          <w:lang w:val="en-US" w:eastAsia="zh-CN"/>
        </w:rPr>
        <w:t>7.</w:t>
      </w:r>
      <w:r>
        <w:rPr>
          <w:rFonts w:hint="default"/>
          <w:highlight w:val="none"/>
        </w:rPr>
        <w:t>3资金筹措方案</w:t>
      </w:r>
      <w:r>
        <w:tab/>
      </w:r>
      <w:r>
        <w:fldChar w:fldCharType="begin"/>
      </w:r>
      <w:r>
        <w:instrText xml:space="preserve"> PAGEREF _Toc22665 \h </w:instrText>
      </w:r>
      <w:r>
        <w:fldChar w:fldCharType="separate"/>
      </w:r>
      <w:r>
        <w:t>8</w:t>
      </w:r>
      <w:r>
        <w:fldChar w:fldCharType="end"/>
      </w:r>
      <w:r>
        <w:rPr>
          <w:rFonts w:hint="default" w:ascii="Times New Roman" w:hAnsi="Times New Roman" w:eastAsia="宋体" w:cs="Times New Roman"/>
          <w:color w:val="auto"/>
        </w:rPr>
        <w:fldChar w:fldCharType="end"/>
      </w:r>
    </w:p>
    <w:p>
      <w:pPr>
        <w:pStyle w:val="18"/>
        <w:tabs>
          <w:tab w:val="right" w:leader="dot" w:pos="10002"/>
          <w:tab w:val="clear" w:pos="8494"/>
        </w:tabs>
        <w:rPr>
          <w:rFonts w:hint="default" w:ascii="Times New Roman" w:hAnsi="Times New Roman" w:eastAsia="宋体" w:cs="Times New Roman"/>
          <w:color w:val="auto"/>
        </w:rPr>
      </w:pPr>
      <w:r>
        <w:rPr>
          <w:rFonts w:hint="default" w:ascii="Times New Roman" w:hAnsi="Times New Roman" w:eastAsia="宋体" w:cs="Times New Roman"/>
          <w:color w:val="auto"/>
        </w:rPr>
        <w:fldChar w:fldCharType="end"/>
      </w:r>
    </w:p>
    <w:p>
      <w:pPr>
        <w:rPr>
          <w:rFonts w:hint="eastAsia" w:eastAsia="宋体" w:cs="Times New Roman"/>
          <w:color w:val="0000FF"/>
          <w:lang w:val="en-US" w:eastAsia="zh-CN"/>
        </w:rPr>
      </w:pPr>
      <w:bookmarkStart w:id="8" w:name="_Toc18542"/>
      <w:bookmarkStart w:id="9" w:name="_Toc239368890"/>
      <w:bookmarkStart w:id="10" w:name="_Toc27879"/>
      <w:bookmarkStart w:id="11" w:name="_Toc238852221"/>
      <w:r>
        <w:rPr>
          <w:rFonts w:hint="eastAsia" w:eastAsia="宋体" w:cs="Times New Roman"/>
          <w:color w:val="0000FF"/>
          <w:lang w:val="en-US" w:eastAsia="zh-CN"/>
        </w:rPr>
        <w:br w:type="page"/>
      </w:r>
    </w:p>
    <w:p>
      <w:pPr>
        <w:pStyle w:val="2"/>
        <w:bidi w:val="0"/>
        <w:outlineLvl w:val="0"/>
        <w:rPr>
          <w:rFonts w:hint="eastAsia" w:ascii="Times New Roman" w:hAnsi="Times New Roman" w:eastAsia="宋体" w:cs="Times New Roman"/>
          <w:color w:val="auto"/>
          <w:lang w:eastAsia="zh-CN"/>
        </w:rPr>
      </w:pPr>
      <w:bookmarkStart w:id="12" w:name="_Toc13778"/>
      <w:r>
        <w:rPr>
          <w:rFonts w:hint="eastAsia" w:eastAsia="宋体" w:cs="Times New Roman"/>
          <w:color w:val="auto"/>
          <w:lang w:val="en-US" w:eastAsia="zh-CN"/>
        </w:rPr>
        <w:t>1</w:t>
      </w:r>
      <w:r>
        <w:rPr>
          <w:rFonts w:hint="eastAsia" w:eastAsia="宋体" w:cs="Times New Roman"/>
          <w:color w:val="auto"/>
          <w:lang w:eastAsia="zh-CN"/>
        </w:rPr>
        <w:t>综合说明</w:t>
      </w:r>
      <w:bookmarkEnd w:id="12"/>
    </w:p>
    <w:p>
      <w:pPr>
        <w:pStyle w:val="3"/>
        <w:bidi w:val="0"/>
        <w:outlineLvl w:val="0"/>
        <w:rPr>
          <w:rFonts w:hint="default"/>
          <w:color w:val="auto"/>
        </w:rPr>
      </w:pPr>
      <w:bookmarkStart w:id="13" w:name="_Toc18467"/>
      <w:r>
        <w:rPr>
          <w:rFonts w:hint="default"/>
          <w:color w:val="auto"/>
        </w:rPr>
        <w:t>1.1项目背景</w:t>
      </w:r>
      <w:bookmarkEnd w:id="8"/>
      <w:bookmarkEnd w:id="9"/>
      <w:bookmarkEnd w:id="10"/>
      <w:bookmarkEnd w:id="11"/>
      <w:bookmarkEnd w:id="13"/>
    </w:p>
    <w:p>
      <w:pPr>
        <w:bidi w:val="0"/>
        <w:outlineLvl w:val="9"/>
        <w:rPr>
          <w:color w:val="auto"/>
        </w:rPr>
      </w:pPr>
      <w:bookmarkStart w:id="14" w:name="_Toc239368891"/>
      <w:bookmarkStart w:id="15" w:name="_Toc29876"/>
      <w:bookmarkStart w:id="16" w:name="_Toc6133"/>
      <w:bookmarkStart w:id="17" w:name="_Toc238852222"/>
      <w:r>
        <w:rPr>
          <w:color w:val="auto"/>
        </w:rPr>
        <w:t>进入新发展阶段，需要构建流域统筹、区域协同的水生态环境治理体系。“十三五”污染防治力度加大，生态环境明显改善，水生态环境保护工作取得了新的历史性成就，全面建成小康社会生态环境目标任务高质量完成，“十三五”规划确定的地表水优良水质比例、劣Ⅴ类水体比例两项水生态环境约束性指标均超额完成。</w:t>
      </w:r>
    </w:p>
    <w:p>
      <w:pPr>
        <w:pStyle w:val="3"/>
        <w:bidi w:val="0"/>
        <w:outlineLvl w:val="0"/>
        <w:rPr>
          <w:rFonts w:hint="default"/>
          <w:color w:val="auto"/>
          <w:lang w:val="en-US" w:eastAsia="zh-CN"/>
        </w:rPr>
      </w:pPr>
      <w:bookmarkStart w:id="18" w:name="_Toc15366"/>
      <w:bookmarkStart w:id="19" w:name="_Toc29040"/>
      <w:r>
        <w:rPr>
          <w:rFonts w:hint="eastAsia"/>
          <w:color w:val="auto"/>
          <w:lang w:val="en-US" w:eastAsia="zh-CN"/>
        </w:rPr>
        <w:t>1.2</w:t>
      </w:r>
      <w:r>
        <w:rPr>
          <w:rFonts w:hint="default"/>
          <w:color w:val="auto"/>
          <w:lang w:val="en-US" w:eastAsia="zh-CN"/>
        </w:rPr>
        <w:t>指导思想</w:t>
      </w:r>
      <w:bookmarkEnd w:id="18"/>
      <w:bookmarkEnd w:id="19"/>
    </w:p>
    <w:p>
      <w:pPr>
        <w:spacing w:beforeLines="0" w:afterLines="0"/>
        <w:jc w:val="left"/>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强化政策支持，加大资金投入，贯彻落实保护环境、节约资源的基本国策，立足“绿水青山就是金山银山”的发展理念，坚持人与自然和谐共生，以满足人民对良好水环境的需求为核心，以改善水环境质量为把手，统筹“山水林田湖草沙”系统治理，着力解决突出环境问题，本着综合规划、全面推进、加快建设的实施原则，全面实施水环境综合治理。</w:t>
      </w:r>
    </w:p>
    <w:p>
      <w:pPr>
        <w:pStyle w:val="3"/>
        <w:bidi w:val="0"/>
        <w:outlineLvl w:val="0"/>
        <w:rPr>
          <w:rFonts w:hint="default"/>
          <w:color w:val="auto"/>
          <w:lang w:val="en-US" w:eastAsia="zh-CN"/>
        </w:rPr>
      </w:pPr>
      <w:bookmarkStart w:id="20" w:name="_Toc27434"/>
      <w:bookmarkStart w:id="21" w:name="_Toc17864"/>
      <w:bookmarkStart w:id="22" w:name="_Toc239368937"/>
      <w:bookmarkStart w:id="23" w:name="_Toc8316"/>
      <w:r>
        <w:rPr>
          <w:rFonts w:hint="eastAsia"/>
          <w:color w:val="auto"/>
          <w:lang w:val="en-US" w:eastAsia="zh-CN"/>
        </w:rPr>
        <w:t>1.3</w:t>
      </w:r>
      <w:r>
        <w:rPr>
          <w:rFonts w:hint="default"/>
          <w:color w:val="auto"/>
          <w:lang w:val="en-US" w:eastAsia="zh-CN"/>
        </w:rPr>
        <w:t>设计依据</w:t>
      </w:r>
      <w:bookmarkEnd w:id="20"/>
      <w:bookmarkEnd w:id="21"/>
      <w:bookmarkEnd w:id="22"/>
      <w:bookmarkEnd w:id="23"/>
    </w:p>
    <w:p>
      <w:pPr>
        <w:pStyle w:val="4"/>
        <w:bidi w:val="0"/>
        <w:outlineLvl w:val="2"/>
        <w:rPr>
          <w:color w:val="auto"/>
        </w:rPr>
      </w:pPr>
      <w:r>
        <w:rPr>
          <w:rFonts w:hint="eastAsia"/>
          <w:color w:val="auto"/>
          <w:lang w:val="en-US" w:eastAsia="zh-CN"/>
        </w:rPr>
        <w:t>1.3.1</w:t>
      </w:r>
      <w:r>
        <w:rPr>
          <w:rFonts w:hint="eastAsia"/>
          <w:color w:val="auto"/>
        </w:rPr>
        <w:t>工程技术标准依据</w:t>
      </w:r>
    </w:p>
    <w:p>
      <w:pPr>
        <w:bidi w:val="0"/>
        <w:rPr>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color w:val="auto"/>
        </w:rPr>
        <w:t>《灌溉与排水工程设计标准》（GB50288-2018）；</w:t>
      </w:r>
    </w:p>
    <w:p>
      <w:pPr>
        <w:bidi w:val="0"/>
        <w:rPr>
          <w:color w:val="auto"/>
        </w:rPr>
      </w:pPr>
      <w:r>
        <w:rPr>
          <w:rFonts w:hint="eastAsia"/>
          <w:color w:val="auto"/>
          <w:lang w:eastAsia="zh-CN"/>
        </w:rPr>
        <w:t>（</w:t>
      </w:r>
      <w:r>
        <w:rPr>
          <w:rFonts w:hint="eastAsia"/>
          <w:color w:val="auto"/>
          <w:lang w:val="en-US" w:eastAsia="zh-CN"/>
        </w:rPr>
        <w:t>3</w:t>
      </w:r>
      <w:r>
        <w:rPr>
          <w:rFonts w:hint="eastAsia"/>
          <w:color w:val="auto"/>
          <w:lang w:eastAsia="zh-CN"/>
        </w:rPr>
        <w:t>）</w:t>
      </w:r>
      <w:r>
        <w:rPr>
          <w:color w:val="auto"/>
        </w:rPr>
        <w:t>《节水灌溉工程技术</w:t>
      </w:r>
      <w:r>
        <w:rPr>
          <w:rFonts w:hint="eastAsia"/>
          <w:color w:val="auto"/>
        </w:rPr>
        <w:t>规范</w:t>
      </w:r>
      <w:r>
        <w:rPr>
          <w:color w:val="auto"/>
        </w:rPr>
        <w:t>》（GB/T50363-2018）；</w:t>
      </w:r>
    </w:p>
    <w:p>
      <w:pPr>
        <w:bidi w:val="0"/>
        <w:rPr>
          <w:color w:val="auto"/>
        </w:rPr>
      </w:pPr>
      <w:r>
        <w:rPr>
          <w:rFonts w:hint="eastAsia"/>
          <w:color w:val="auto"/>
          <w:lang w:eastAsia="zh-CN"/>
        </w:rPr>
        <w:t>（</w:t>
      </w:r>
      <w:r>
        <w:rPr>
          <w:rFonts w:hint="eastAsia"/>
          <w:color w:val="auto"/>
          <w:lang w:val="en-US" w:eastAsia="zh-CN"/>
        </w:rPr>
        <w:t>4</w:t>
      </w:r>
      <w:r>
        <w:rPr>
          <w:rFonts w:hint="eastAsia"/>
          <w:color w:val="auto"/>
          <w:lang w:eastAsia="zh-CN"/>
        </w:rPr>
        <w:t>）</w:t>
      </w:r>
      <w:r>
        <w:rPr>
          <w:color w:val="auto"/>
        </w:rPr>
        <w:t>《渠道防渗工程技术规范》（SL18-2004）；</w:t>
      </w:r>
    </w:p>
    <w:p>
      <w:pPr>
        <w:bidi w:val="0"/>
        <w:rPr>
          <w:color w:val="auto"/>
        </w:rPr>
      </w:pPr>
      <w:r>
        <w:rPr>
          <w:rFonts w:hint="eastAsia"/>
          <w:color w:val="auto"/>
          <w:lang w:eastAsia="zh-CN"/>
        </w:rPr>
        <w:t>（</w:t>
      </w:r>
      <w:r>
        <w:rPr>
          <w:rFonts w:hint="eastAsia"/>
          <w:color w:val="auto"/>
          <w:lang w:val="en-US" w:eastAsia="zh-CN"/>
        </w:rPr>
        <w:t>5</w:t>
      </w:r>
      <w:r>
        <w:rPr>
          <w:rFonts w:hint="eastAsia"/>
          <w:color w:val="auto"/>
          <w:lang w:eastAsia="zh-CN"/>
        </w:rPr>
        <w:t>）</w:t>
      </w:r>
      <w:r>
        <w:rPr>
          <w:color w:val="auto"/>
        </w:rPr>
        <w:t>《水利水电工程等级划分及洪水标准》（SL252-2017）；</w:t>
      </w:r>
    </w:p>
    <w:p>
      <w:pPr>
        <w:bidi w:val="0"/>
        <w:rPr>
          <w:color w:val="auto"/>
        </w:rPr>
      </w:pPr>
      <w:r>
        <w:rPr>
          <w:rFonts w:hint="eastAsia"/>
          <w:color w:val="auto"/>
          <w:lang w:eastAsia="zh-CN"/>
        </w:rPr>
        <w:t>（</w:t>
      </w:r>
      <w:r>
        <w:rPr>
          <w:rFonts w:hint="eastAsia"/>
          <w:color w:val="auto"/>
          <w:lang w:val="en-US" w:eastAsia="zh-CN"/>
        </w:rPr>
        <w:t>9</w:t>
      </w:r>
      <w:r>
        <w:rPr>
          <w:rFonts w:hint="eastAsia"/>
          <w:color w:val="auto"/>
          <w:lang w:eastAsia="zh-CN"/>
        </w:rPr>
        <w:t>）《</w:t>
      </w:r>
      <w:r>
        <w:rPr>
          <w:color w:val="auto"/>
        </w:rPr>
        <w:t>管道输水灌溉工程技术规范》（GB/T20203-2017）；</w:t>
      </w:r>
    </w:p>
    <w:p>
      <w:pPr>
        <w:bidi w:val="0"/>
        <w:rPr>
          <w:color w:val="auto"/>
        </w:rPr>
      </w:pPr>
      <w:r>
        <w:rPr>
          <w:rFonts w:hint="eastAsia"/>
          <w:color w:val="auto"/>
          <w:lang w:eastAsia="zh-CN"/>
        </w:rPr>
        <w:t>（</w:t>
      </w:r>
      <w:r>
        <w:rPr>
          <w:rFonts w:hint="eastAsia"/>
          <w:color w:val="auto"/>
          <w:lang w:val="en-US" w:eastAsia="zh-CN"/>
        </w:rPr>
        <w:t>12</w:t>
      </w:r>
      <w:r>
        <w:rPr>
          <w:rFonts w:hint="eastAsia"/>
          <w:color w:val="auto"/>
          <w:lang w:eastAsia="zh-CN"/>
        </w:rPr>
        <w:t>）</w:t>
      </w:r>
      <w:r>
        <w:rPr>
          <w:color w:val="auto"/>
        </w:rPr>
        <w:t>《灌溉与排水渠系</w:t>
      </w:r>
      <w:r>
        <w:rPr>
          <w:rFonts w:hint="eastAsia"/>
          <w:color w:val="auto"/>
        </w:rPr>
        <w:t>建筑物</w:t>
      </w:r>
      <w:r>
        <w:rPr>
          <w:color w:val="auto"/>
        </w:rPr>
        <w:t>设计规范》（SL482-2011）；</w:t>
      </w:r>
    </w:p>
    <w:p>
      <w:pPr>
        <w:bidi w:val="0"/>
        <w:rPr>
          <w:color w:val="auto"/>
        </w:rPr>
      </w:pPr>
      <w:r>
        <w:rPr>
          <w:rFonts w:hint="eastAsia"/>
          <w:color w:val="auto"/>
          <w:lang w:eastAsia="zh-CN"/>
        </w:rPr>
        <w:t>（</w:t>
      </w:r>
      <w:r>
        <w:rPr>
          <w:rFonts w:hint="eastAsia"/>
          <w:color w:val="auto"/>
          <w:lang w:val="en-US" w:eastAsia="zh-CN"/>
        </w:rPr>
        <w:t>13</w:t>
      </w:r>
      <w:r>
        <w:rPr>
          <w:rFonts w:hint="eastAsia"/>
          <w:color w:val="auto"/>
          <w:lang w:eastAsia="zh-CN"/>
        </w:rPr>
        <w:t>）</w:t>
      </w:r>
      <w:r>
        <w:rPr>
          <w:color w:val="auto"/>
        </w:rPr>
        <w:t>《水工混凝土结构设计规范》（SL191-2008）；</w:t>
      </w:r>
    </w:p>
    <w:p>
      <w:pPr>
        <w:bidi w:val="0"/>
        <w:rPr>
          <w:color w:val="auto"/>
        </w:rPr>
      </w:pPr>
      <w:r>
        <w:rPr>
          <w:rFonts w:hint="eastAsia"/>
          <w:color w:val="auto"/>
          <w:lang w:eastAsia="zh-CN"/>
        </w:rPr>
        <w:t>（</w:t>
      </w:r>
      <w:r>
        <w:rPr>
          <w:rFonts w:hint="eastAsia"/>
          <w:color w:val="auto"/>
          <w:lang w:val="en-US" w:eastAsia="zh-CN"/>
        </w:rPr>
        <w:t>14</w:t>
      </w:r>
      <w:r>
        <w:rPr>
          <w:rFonts w:hint="eastAsia"/>
          <w:color w:val="auto"/>
          <w:lang w:eastAsia="zh-CN"/>
        </w:rPr>
        <w:t>）</w:t>
      </w:r>
      <w:r>
        <w:rPr>
          <w:color w:val="auto"/>
        </w:rPr>
        <w:t>《湖南省用水定额》（DB43/T388-20</w:t>
      </w:r>
      <w:r>
        <w:rPr>
          <w:rFonts w:hint="eastAsia"/>
          <w:color w:val="auto"/>
          <w:lang w:val="en-US" w:eastAsia="zh-CN"/>
        </w:rPr>
        <w:t>20</w:t>
      </w:r>
      <w:r>
        <w:rPr>
          <w:color w:val="auto"/>
        </w:rPr>
        <w:t>）</w:t>
      </w:r>
      <w:r>
        <w:rPr>
          <w:rFonts w:hint="eastAsia"/>
          <w:color w:val="auto"/>
        </w:rPr>
        <w:t>。</w:t>
      </w:r>
    </w:p>
    <w:p>
      <w:pPr>
        <w:pStyle w:val="4"/>
        <w:bidi w:val="0"/>
        <w:outlineLvl w:val="2"/>
        <w:rPr>
          <w:color w:val="auto"/>
        </w:rPr>
      </w:pPr>
      <w:r>
        <w:rPr>
          <w:rFonts w:hint="eastAsia"/>
          <w:color w:val="auto"/>
          <w:lang w:val="en-US" w:eastAsia="zh-CN"/>
        </w:rPr>
        <w:t>1.3.2</w:t>
      </w:r>
      <w:r>
        <w:rPr>
          <w:rFonts w:hint="eastAsia"/>
          <w:color w:val="auto"/>
        </w:rPr>
        <w:t>其他资料</w:t>
      </w:r>
    </w:p>
    <w:p>
      <w:pPr>
        <w:numPr>
          <w:ilvl w:val="0"/>
          <w:numId w:val="0"/>
        </w:numPr>
        <w:bidi w:val="0"/>
        <w:ind w:leftChars="20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w:t>
      </w:r>
      <w:r>
        <w:rPr>
          <w:rFonts w:hint="eastAsia" w:cs="Times New Roman"/>
          <w:color w:val="auto"/>
          <w:lang w:val="en-US" w:eastAsia="zh-CN"/>
        </w:rPr>
        <w:t>1</w:t>
      </w:r>
      <w:r>
        <w:rPr>
          <w:rFonts w:hint="eastAsia" w:ascii="Times New Roman" w:hAnsi="Times New Roman" w:eastAsia="宋体" w:cs="Times New Roman"/>
          <w:color w:val="auto"/>
          <w:lang w:val="en-US" w:eastAsia="zh-CN"/>
        </w:rPr>
        <w:t>）项目区地形图（1:</w:t>
      </w:r>
      <w:r>
        <w:rPr>
          <w:rFonts w:hint="eastAsia" w:cs="Times New Roman"/>
          <w:color w:val="auto"/>
          <w:lang w:val="en-US" w:eastAsia="zh-CN"/>
        </w:rPr>
        <w:t>2000</w:t>
      </w:r>
      <w:r>
        <w:rPr>
          <w:rFonts w:hint="eastAsia" w:ascii="Times New Roman" w:hAnsi="Times New Roman" w:eastAsia="宋体" w:cs="Times New Roman"/>
          <w:color w:val="auto"/>
          <w:lang w:val="en-US" w:eastAsia="zh-CN"/>
        </w:rPr>
        <w:t>）；</w:t>
      </w:r>
    </w:p>
    <w:p>
      <w:pPr>
        <w:numPr>
          <w:ilvl w:val="0"/>
          <w:numId w:val="0"/>
        </w:numPr>
        <w:bidi w:val="0"/>
        <w:ind w:leftChars="20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w:t>
      </w:r>
      <w:r>
        <w:rPr>
          <w:rFonts w:hint="eastAsia" w:cs="Times New Roman"/>
          <w:color w:val="auto"/>
          <w:lang w:val="en-US" w:eastAsia="zh-CN"/>
        </w:rPr>
        <w:t>2</w:t>
      </w:r>
      <w:r>
        <w:rPr>
          <w:rFonts w:hint="eastAsia" w:ascii="Times New Roman" w:hAnsi="Times New Roman" w:eastAsia="宋体" w:cs="Times New Roman"/>
          <w:color w:val="auto"/>
          <w:lang w:val="en-US" w:eastAsia="zh-CN"/>
        </w:rPr>
        <w:t>）设计人员现场调查与踏勘资料；</w:t>
      </w:r>
    </w:p>
    <w:p>
      <w:pPr>
        <w:numPr>
          <w:ilvl w:val="0"/>
          <w:numId w:val="0"/>
        </w:numPr>
        <w:bidi w:val="0"/>
        <w:ind w:leftChars="20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w:t>
      </w:r>
      <w:r>
        <w:rPr>
          <w:rFonts w:hint="eastAsia" w:cs="Times New Roman"/>
          <w:color w:val="auto"/>
          <w:lang w:val="en-US" w:eastAsia="zh-CN"/>
        </w:rPr>
        <w:t>3</w:t>
      </w:r>
      <w:r>
        <w:rPr>
          <w:rFonts w:hint="eastAsia" w:ascii="Times New Roman" w:hAnsi="Times New Roman" w:eastAsia="宋体" w:cs="Times New Roman"/>
          <w:color w:val="auto"/>
          <w:lang w:val="en-US" w:eastAsia="zh-CN"/>
        </w:rPr>
        <w:t>）建设单位提供的其他基础资料等。</w:t>
      </w:r>
    </w:p>
    <w:bookmarkEnd w:id="2"/>
    <w:bookmarkEnd w:id="3"/>
    <w:bookmarkEnd w:id="4"/>
    <w:bookmarkEnd w:id="5"/>
    <w:bookmarkEnd w:id="6"/>
    <w:bookmarkEnd w:id="14"/>
    <w:bookmarkEnd w:id="15"/>
    <w:bookmarkEnd w:id="16"/>
    <w:bookmarkEnd w:id="17"/>
    <w:p>
      <w:pPr>
        <w:pStyle w:val="3"/>
        <w:bidi w:val="0"/>
        <w:outlineLvl w:val="0"/>
        <w:rPr>
          <w:rFonts w:hint="eastAsia"/>
          <w:color w:val="auto"/>
          <w:lang w:val="en-US" w:eastAsia="zh-CN"/>
        </w:rPr>
      </w:pPr>
      <w:bookmarkStart w:id="24" w:name="_Toc13008_WPSOffice_Level2"/>
      <w:bookmarkStart w:id="25" w:name="_Toc28528"/>
      <w:bookmarkStart w:id="26" w:name="_Toc11980"/>
      <w:bookmarkStart w:id="27" w:name="_Toc30238"/>
      <w:bookmarkStart w:id="28" w:name="_Toc238852238"/>
      <w:bookmarkStart w:id="29" w:name="_Toc239368933"/>
      <w:r>
        <w:rPr>
          <w:rFonts w:hint="eastAsia"/>
          <w:color w:val="auto"/>
          <w:lang w:val="en-US" w:eastAsia="zh-CN"/>
        </w:rPr>
        <w:t>1.4设计原则</w:t>
      </w:r>
      <w:bookmarkEnd w:id="24"/>
      <w:bookmarkEnd w:id="25"/>
    </w:p>
    <w:p>
      <w:pPr>
        <w:bidi w:val="0"/>
        <w:outlineLvl w:val="9"/>
        <w:rPr>
          <w:rFonts w:hint="eastAsia"/>
          <w:color w:val="auto"/>
          <w:lang w:val="en-US" w:eastAsia="zh-CN"/>
        </w:rPr>
      </w:pPr>
      <w:r>
        <w:rPr>
          <w:rFonts w:hint="eastAsia"/>
          <w:color w:val="auto"/>
          <w:lang w:val="en-US" w:eastAsia="zh-CN"/>
        </w:rPr>
        <w:t>（1）合理布局，突出重点。综合考虑区域自然资源条件、经济社会发展水平和现有生态建设工作实施基础，优先考虑安排对流域水环境产生污染的源头进行处理。</w:t>
      </w:r>
    </w:p>
    <w:p>
      <w:pPr>
        <w:bidi w:val="0"/>
        <w:outlineLvl w:val="9"/>
        <w:rPr>
          <w:rFonts w:hint="eastAsia"/>
          <w:color w:val="auto"/>
          <w:lang w:val="en-US" w:eastAsia="zh-CN"/>
        </w:rPr>
      </w:pPr>
      <w:r>
        <w:rPr>
          <w:rFonts w:hint="eastAsia"/>
          <w:color w:val="auto"/>
          <w:lang w:val="en-US" w:eastAsia="zh-CN"/>
        </w:rPr>
        <w:t>（2）集中连片，整体推进。根据流域分布和自然条件状况，加强与相关规划的衔接，选择重点治理地区，因地制宜地合理确定连片规模，统一规划设计，采取集中投入、连片治理的建设方式，确保建成一片恢复一片。</w:t>
      </w:r>
    </w:p>
    <w:p>
      <w:pPr>
        <w:bidi w:val="0"/>
        <w:outlineLvl w:val="9"/>
        <w:rPr>
          <w:rFonts w:hint="eastAsia"/>
          <w:color w:val="auto"/>
          <w:lang w:val="en-US" w:eastAsia="zh-CN"/>
        </w:rPr>
      </w:pPr>
      <w:r>
        <w:rPr>
          <w:rFonts w:hint="eastAsia"/>
          <w:color w:val="auto"/>
          <w:lang w:val="en-US" w:eastAsia="zh-CN"/>
        </w:rPr>
        <w:t>（3）严格标准，确保质量。在项目实施过程中，选择污水管网、污染底泥清理、生态护岸、生态沟渠等工程建设，严格按照市政、环保等相关标准执行，加强项目管理，确保工程建设质量。</w:t>
      </w:r>
    </w:p>
    <w:bookmarkEnd w:id="26"/>
    <w:bookmarkEnd w:id="27"/>
    <w:p>
      <w:pPr>
        <w:pStyle w:val="2"/>
        <w:bidi w:val="0"/>
        <w:outlineLvl w:val="0"/>
        <w:rPr>
          <w:rFonts w:hint="eastAsia" w:ascii="Times New Roman" w:hAnsi="Times New Roman" w:eastAsia="宋体" w:cs="Times New Roman"/>
          <w:color w:val="auto"/>
          <w:lang w:eastAsia="zh-CN"/>
        </w:rPr>
      </w:pPr>
      <w:bookmarkStart w:id="30" w:name="_Toc27600"/>
      <w:bookmarkStart w:id="31" w:name="_Toc5104"/>
      <w:bookmarkStart w:id="32" w:name="_Toc6011"/>
      <w:r>
        <w:rPr>
          <w:rFonts w:hint="eastAsia" w:eastAsia="宋体" w:cs="Times New Roman"/>
          <w:color w:val="auto"/>
          <w:lang w:val="en-US" w:eastAsia="zh-CN"/>
        </w:rPr>
        <w:t>2</w:t>
      </w:r>
      <w:r>
        <w:rPr>
          <w:rFonts w:hint="default" w:ascii="Times New Roman" w:hAnsi="Times New Roman" w:eastAsia="宋体" w:cs="Times New Roman"/>
          <w:color w:val="auto"/>
        </w:rPr>
        <w:t>设计</w:t>
      </w:r>
      <w:bookmarkEnd w:id="28"/>
      <w:bookmarkEnd w:id="29"/>
      <w:bookmarkEnd w:id="30"/>
      <w:bookmarkEnd w:id="31"/>
      <w:r>
        <w:rPr>
          <w:rFonts w:hint="eastAsia" w:eastAsia="宋体" w:cs="Times New Roman"/>
          <w:color w:val="auto"/>
          <w:lang w:eastAsia="zh-CN"/>
        </w:rPr>
        <w:t>方案</w:t>
      </w:r>
      <w:bookmarkEnd w:id="32"/>
    </w:p>
    <w:p>
      <w:pPr>
        <w:pStyle w:val="3"/>
        <w:bidi w:val="0"/>
        <w:outlineLvl w:val="1"/>
        <w:rPr>
          <w:rFonts w:hint="eastAsia"/>
          <w:color w:val="auto"/>
          <w:lang w:val="en-US" w:eastAsia="zh-CN"/>
        </w:rPr>
      </w:pPr>
      <w:bookmarkStart w:id="33" w:name="_Toc18206"/>
      <w:bookmarkStart w:id="34" w:name="_Toc26579"/>
      <w:bookmarkStart w:id="35" w:name="_Toc9496"/>
      <w:r>
        <w:rPr>
          <w:rFonts w:hint="eastAsia"/>
          <w:color w:val="auto"/>
          <w:lang w:val="en-US" w:eastAsia="zh-CN"/>
        </w:rPr>
        <w:t>2</w:t>
      </w:r>
      <w:r>
        <w:rPr>
          <w:rFonts w:hint="default"/>
          <w:color w:val="auto"/>
          <w:lang w:val="en-US" w:eastAsia="zh-CN"/>
        </w:rPr>
        <w:t>.1</w:t>
      </w:r>
      <w:bookmarkEnd w:id="33"/>
      <w:bookmarkEnd w:id="34"/>
      <w:r>
        <w:rPr>
          <w:rFonts w:hint="eastAsia"/>
          <w:color w:val="auto"/>
          <w:lang w:val="en-US" w:eastAsia="zh-CN"/>
        </w:rPr>
        <w:t>污染底泥清理工程</w:t>
      </w:r>
      <w:bookmarkEnd w:id="35"/>
    </w:p>
    <w:p>
      <w:pPr>
        <w:pStyle w:val="4"/>
        <w:bidi w:val="0"/>
        <w:outlineLvl w:val="2"/>
        <w:rPr>
          <w:rFonts w:hint="default"/>
          <w:color w:val="auto"/>
          <w:lang w:val="en-US" w:eastAsia="zh-CN"/>
        </w:rPr>
      </w:pPr>
      <w:r>
        <w:rPr>
          <w:rFonts w:hint="eastAsia"/>
          <w:color w:val="auto"/>
          <w:lang w:val="en-US" w:eastAsia="zh-CN"/>
        </w:rPr>
        <w:t>2.1.1底泥清淤</w:t>
      </w:r>
    </w:p>
    <w:p>
      <w:pPr>
        <w:bidi w:val="0"/>
        <w:rPr>
          <w:rFonts w:hint="eastAsia"/>
          <w:color w:val="auto"/>
          <w:highlight w:val="none"/>
          <w:lang w:val="en-US" w:eastAsia="zh-CN"/>
        </w:rPr>
      </w:pPr>
      <w:bookmarkStart w:id="36" w:name="_Toc484"/>
      <w:bookmarkStart w:id="37" w:name="_Toc13202"/>
      <w:r>
        <w:rPr>
          <w:rFonts w:hint="eastAsia"/>
          <w:color w:val="auto"/>
          <w:highlight w:val="none"/>
          <w:lang w:val="en-US" w:eastAsia="zh-CN"/>
        </w:rPr>
        <w:t>（1）清淤方案比选</w:t>
      </w:r>
    </w:p>
    <w:p>
      <w:pPr>
        <w:bidi w:val="0"/>
        <w:rPr>
          <w:rFonts w:hint="eastAsia"/>
          <w:color w:val="auto"/>
          <w:highlight w:val="none"/>
        </w:rPr>
      </w:pPr>
      <w:r>
        <w:rPr>
          <w:rFonts w:hint="eastAsia"/>
          <w:color w:val="auto"/>
          <w:highlight w:val="none"/>
        </w:rPr>
        <w:t>清淤技术方案的选择主要考虑现场施工条件、底泥成分等因素。</w:t>
      </w:r>
    </w:p>
    <w:p>
      <w:pPr>
        <w:bidi w:val="0"/>
        <w:rPr>
          <w:rFonts w:hint="default" w:eastAsia="宋体"/>
          <w:color w:val="auto"/>
          <w:highlight w:val="none"/>
          <w:lang w:val="en-US" w:eastAsia="zh-CN"/>
        </w:rPr>
      </w:pPr>
      <w:r>
        <w:rPr>
          <w:rFonts w:hint="eastAsia"/>
          <w:color w:val="auto"/>
          <w:highlight w:val="none"/>
          <w:lang w:val="en-US" w:eastAsia="zh-CN"/>
        </w:rPr>
        <w:t>目前</w:t>
      </w:r>
      <w:r>
        <w:rPr>
          <w:rFonts w:hint="eastAsia"/>
          <w:color w:val="auto"/>
          <w:highlight w:val="none"/>
        </w:rPr>
        <w:t>河道和湖泊常见的底泥清淤方式有</w:t>
      </w:r>
      <w:r>
        <w:rPr>
          <w:rFonts w:hint="eastAsia"/>
          <w:color w:val="auto"/>
          <w:highlight w:val="none"/>
          <w:lang w:val="en-US" w:eastAsia="zh-CN"/>
        </w:rPr>
        <w:t>排干清淤、</w:t>
      </w:r>
      <w:r>
        <w:rPr>
          <w:rFonts w:hint="eastAsia"/>
          <w:color w:val="auto"/>
          <w:highlight w:val="none"/>
        </w:rPr>
        <w:t>绞吸式清淤、抓斗式清淤</w:t>
      </w:r>
      <w:r>
        <w:rPr>
          <w:rFonts w:hint="eastAsia"/>
          <w:color w:val="auto"/>
          <w:highlight w:val="none"/>
          <w:lang w:val="en-US" w:eastAsia="zh-CN"/>
        </w:rPr>
        <w:t>3</w:t>
      </w:r>
      <w:r>
        <w:rPr>
          <w:rFonts w:hint="eastAsia"/>
          <w:color w:val="auto"/>
          <w:highlight w:val="none"/>
        </w:rPr>
        <w:t>种方式。</w:t>
      </w:r>
    </w:p>
    <w:p>
      <w:pPr>
        <w:bidi w:val="0"/>
        <w:rPr>
          <w:rFonts w:hint="eastAsia"/>
          <w:color w:val="auto"/>
          <w:highlight w:val="none"/>
        </w:rPr>
      </w:pPr>
      <w:r>
        <w:rPr>
          <w:rFonts w:hint="eastAsia"/>
          <w:color w:val="auto"/>
          <w:highlight w:val="none"/>
          <w:lang w:val="en-US" w:eastAsia="zh-CN"/>
        </w:rPr>
        <w:t>本项目清淤涉及水域面积约81200㎡，涉及清淤量6万余立方，湖区长885m，大部分位置宽约110m，最窄处约宽45m。</w:t>
      </w:r>
    </w:p>
    <w:p>
      <w:pPr>
        <w:keepNext w:val="0"/>
        <w:keepLines w:val="0"/>
        <w:pageBreakBefore w:val="0"/>
        <w:widowControl w:val="0"/>
        <w:kinsoku/>
        <w:wordWrap/>
        <w:overflowPunct/>
        <w:topLinePunct w:val="0"/>
        <w:autoSpaceDE/>
        <w:autoSpaceDN/>
        <w:bidi w:val="0"/>
        <w:adjustRightInd w:val="0"/>
        <w:snapToGrid w:val="0"/>
        <w:spacing w:before="161" w:beforeLines="50"/>
        <w:textAlignment w:val="auto"/>
        <w:rPr>
          <w:rFonts w:hint="eastAsia"/>
          <w:color w:val="auto"/>
          <w:highlight w:val="none"/>
          <w:lang w:val="en-US" w:eastAsia="zh-CN"/>
        </w:rPr>
      </w:pPr>
      <w:r>
        <w:rPr>
          <w:rFonts w:hint="eastAsia"/>
          <w:color w:val="auto"/>
          <w:highlight w:val="none"/>
          <w:lang w:val="en-US" w:eastAsia="zh-CN"/>
        </w:rPr>
        <w:t>（2）排泥场控制及余水处理</w:t>
      </w:r>
    </w:p>
    <w:p>
      <w:pPr>
        <w:bidi w:val="0"/>
        <w:rPr>
          <w:rFonts w:hint="eastAsia"/>
          <w:color w:val="auto"/>
          <w:highlight w:val="none"/>
        </w:rPr>
      </w:pPr>
      <w:r>
        <w:rPr>
          <w:rFonts w:hint="eastAsia"/>
          <w:color w:val="auto"/>
          <w:highlight w:val="none"/>
        </w:rPr>
        <w:t>淤泥经挖掘后，由</w:t>
      </w:r>
      <w:r>
        <w:rPr>
          <w:rFonts w:hint="eastAsia"/>
          <w:color w:val="auto"/>
          <w:highlight w:val="none"/>
          <w:lang w:eastAsia="zh-CN"/>
        </w:rPr>
        <w:t>管道输送</w:t>
      </w:r>
      <w:r>
        <w:rPr>
          <w:rFonts w:hint="eastAsia"/>
          <w:color w:val="auto"/>
          <w:highlight w:val="none"/>
        </w:rPr>
        <w:t>至</w:t>
      </w:r>
      <w:r>
        <w:rPr>
          <w:rFonts w:hint="eastAsia"/>
          <w:color w:val="auto"/>
          <w:highlight w:val="none"/>
          <w:lang w:eastAsia="zh-CN"/>
        </w:rPr>
        <w:t>转存</w:t>
      </w:r>
      <w:r>
        <w:rPr>
          <w:rFonts w:hint="eastAsia"/>
          <w:color w:val="auto"/>
          <w:highlight w:val="none"/>
        </w:rPr>
        <w:t>场内。为防止泥浆四溢污染周边道路，须在指定的</w:t>
      </w:r>
      <w:r>
        <w:rPr>
          <w:rFonts w:hint="eastAsia"/>
          <w:color w:val="auto"/>
          <w:highlight w:val="none"/>
          <w:lang w:eastAsia="zh-CN"/>
        </w:rPr>
        <w:t>转存</w:t>
      </w:r>
      <w:r>
        <w:rPr>
          <w:rFonts w:hint="eastAsia"/>
          <w:color w:val="auto"/>
          <w:highlight w:val="none"/>
        </w:rPr>
        <w:t>场周围制作土围堰，围堰填筑尽量采用附近土料。在</w:t>
      </w:r>
      <w:r>
        <w:rPr>
          <w:rFonts w:hint="eastAsia"/>
          <w:color w:val="auto"/>
          <w:highlight w:val="none"/>
          <w:lang w:eastAsia="zh-CN"/>
        </w:rPr>
        <w:t>转存</w:t>
      </w:r>
      <w:r>
        <w:rPr>
          <w:rFonts w:hint="eastAsia"/>
          <w:color w:val="auto"/>
          <w:highlight w:val="none"/>
        </w:rPr>
        <w:t>场的外侧制作沉淀池，保证排出沉淀池的水等同于水体水质。</w:t>
      </w:r>
    </w:p>
    <w:p>
      <w:pPr>
        <w:pStyle w:val="4"/>
        <w:bidi w:val="0"/>
        <w:outlineLvl w:val="2"/>
        <w:rPr>
          <w:rFonts w:hint="default"/>
          <w:color w:val="auto"/>
          <w:lang w:val="en-US" w:eastAsia="zh-CN"/>
        </w:rPr>
      </w:pPr>
      <w:r>
        <w:rPr>
          <w:rFonts w:hint="eastAsia"/>
          <w:color w:val="auto"/>
          <w:lang w:val="en-US" w:eastAsia="zh-CN"/>
        </w:rPr>
        <w:t>2.1</w:t>
      </w:r>
      <w:r>
        <w:rPr>
          <w:rFonts w:hint="default"/>
          <w:color w:val="auto"/>
          <w:lang w:val="en-US" w:eastAsia="zh-CN"/>
        </w:rPr>
        <w:t>.2</w:t>
      </w:r>
      <w:bookmarkEnd w:id="36"/>
      <w:bookmarkEnd w:id="37"/>
      <w:r>
        <w:rPr>
          <w:rFonts w:hint="eastAsia"/>
          <w:color w:val="auto"/>
          <w:lang w:val="en-US" w:eastAsia="zh-CN"/>
        </w:rPr>
        <w:t>施工围堰</w:t>
      </w:r>
    </w:p>
    <w:p>
      <w:pPr>
        <w:bidi w:val="0"/>
        <w:rPr>
          <w:color w:val="auto"/>
        </w:rPr>
      </w:pPr>
      <w:r>
        <w:rPr>
          <w:color w:val="auto"/>
        </w:rPr>
        <w:t>围堰工程为底泥清理工作的重点，由于施工作业时间较长，围堰质量的好坏直接影响清淤工作的进行。施工时采用土石围堰挡水，要求围堰结构紧密，不漏水。</w:t>
      </w:r>
    </w:p>
    <w:p>
      <w:pPr>
        <w:ind w:firstLine="560"/>
        <w:outlineLvl w:val="2"/>
        <w:rPr>
          <w:rFonts w:hint="eastAsia" w:ascii="Times New Roman" w:hAnsi="Times New Roman" w:eastAsia="宋体" w:cs="Times New Roman"/>
          <w:b/>
          <w:bCs/>
          <w:color w:val="auto"/>
          <w:kern w:val="2"/>
          <w:sz w:val="30"/>
          <w:szCs w:val="32"/>
          <w:lang w:val="en-US" w:eastAsia="zh-CN" w:bidi="ar-SA"/>
        </w:rPr>
      </w:pPr>
      <w:r>
        <w:rPr>
          <w:rFonts w:hint="eastAsia" w:cs="Times New Roman"/>
          <w:b/>
          <w:bCs/>
          <w:color w:val="auto"/>
          <w:kern w:val="2"/>
          <w:sz w:val="30"/>
          <w:szCs w:val="32"/>
          <w:lang w:val="en-US" w:eastAsia="zh-CN" w:bidi="ar-SA"/>
        </w:rPr>
        <w:t>2</w:t>
      </w:r>
      <w:r>
        <w:rPr>
          <w:rFonts w:hint="eastAsia" w:ascii="Times New Roman" w:hAnsi="Times New Roman" w:eastAsia="宋体" w:cs="Times New Roman"/>
          <w:b/>
          <w:bCs/>
          <w:color w:val="auto"/>
          <w:kern w:val="2"/>
          <w:sz w:val="30"/>
          <w:szCs w:val="32"/>
          <w:lang w:val="en-US" w:eastAsia="zh-CN" w:bidi="ar-SA"/>
        </w:rPr>
        <w:t>.2.1设计原则</w:t>
      </w:r>
    </w:p>
    <w:p>
      <w:pPr>
        <w:bidi w:val="0"/>
        <w:rPr>
          <w:rFonts w:hint="eastAsia" w:ascii="Times New Roman" w:hAnsi="Times New Roman" w:cs="Times New Roman"/>
          <w:color w:val="auto"/>
        </w:rPr>
      </w:pPr>
      <w:r>
        <w:rPr>
          <w:rFonts w:hint="eastAsia" w:cs="Times New Roman"/>
          <w:color w:val="auto"/>
          <w:lang w:eastAsia="zh-CN"/>
        </w:rPr>
        <w:t>（</w:t>
      </w:r>
      <w:r>
        <w:rPr>
          <w:rFonts w:hint="eastAsia" w:cs="Times New Roman"/>
          <w:color w:val="auto"/>
          <w:lang w:val="en-US" w:eastAsia="zh-CN"/>
        </w:rPr>
        <w:t>1</w:t>
      </w:r>
      <w:r>
        <w:rPr>
          <w:rFonts w:hint="eastAsia" w:cs="Times New Roman"/>
          <w:color w:val="auto"/>
          <w:lang w:eastAsia="zh-CN"/>
        </w:rPr>
        <w:t>）</w:t>
      </w:r>
      <w:r>
        <w:rPr>
          <w:rFonts w:hint="eastAsia" w:ascii="Times New Roman" w:hAnsi="Times New Roman" w:cs="Times New Roman"/>
          <w:color w:val="auto"/>
        </w:rPr>
        <w:t>堤线应与水流向相适应，并与大洪水的主流线大致平行。</w:t>
      </w:r>
    </w:p>
    <w:p>
      <w:pPr>
        <w:bidi w:val="0"/>
        <w:rPr>
          <w:rFonts w:hint="eastAsia" w:ascii="Times New Roman" w:hAnsi="Times New Roman" w:cs="Times New Roman"/>
          <w:color w:val="auto"/>
        </w:rPr>
      </w:pPr>
      <w:r>
        <w:rPr>
          <w:rFonts w:hint="eastAsia" w:cs="Times New Roman"/>
          <w:color w:val="auto"/>
          <w:lang w:eastAsia="zh-CN"/>
        </w:rPr>
        <w:t>（</w:t>
      </w:r>
      <w:r>
        <w:rPr>
          <w:rFonts w:hint="eastAsia" w:cs="Times New Roman"/>
          <w:color w:val="auto"/>
          <w:lang w:val="en-US" w:eastAsia="zh-CN"/>
        </w:rPr>
        <w:t>2</w:t>
      </w:r>
      <w:r>
        <w:rPr>
          <w:rFonts w:hint="eastAsia" w:cs="Times New Roman"/>
          <w:color w:val="auto"/>
          <w:lang w:eastAsia="zh-CN"/>
        </w:rPr>
        <w:t>）</w:t>
      </w:r>
      <w:r>
        <w:rPr>
          <w:rFonts w:hint="eastAsia" w:ascii="Times New Roman" w:hAnsi="Times New Roman" w:cs="Times New Roman"/>
          <w:color w:val="auto"/>
        </w:rPr>
        <w:t>堤线应力求平顺，各堤段平缓连接，不得采用折线或急弯。</w:t>
      </w:r>
    </w:p>
    <w:p>
      <w:pPr>
        <w:bidi w:val="0"/>
        <w:rPr>
          <w:rFonts w:hint="eastAsia" w:ascii="Times New Roman" w:hAnsi="Times New Roman" w:cs="Times New Roman"/>
          <w:color w:val="auto"/>
        </w:rPr>
      </w:pPr>
      <w:r>
        <w:rPr>
          <w:rFonts w:hint="eastAsia" w:cs="Times New Roman"/>
          <w:color w:val="auto"/>
          <w:lang w:eastAsia="zh-CN"/>
        </w:rPr>
        <w:t>（</w:t>
      </w:r>
      <w:r>
        <w:rPr>
          <w:rFonts w:hint="eastAsia" w:cs="Times New Roman"/>
          <w:color w:val="auto"/>
          <w:lang w:val="en-US" w:eastAsia="zh-CN"/>
        </w:rPr>
        <w:t>3</w:t>
      </w:r>
      <w:r>
        <w:rPr>
          <w:rFonts w:hint="eastAsia" w:cs="Times New Roman"/>
          <w:color w:val="auto"/>
          <w:lang w:eastAsia="zh-CN"/>
        </w:rPr>
        <w:t>）</w:t>
      </w:r>
      <w:r>
        <w:rPr>
          <w:rFonts w:hint="eastAsia" w:ascii="Times New Roman" w:hAnsi="Times New Roman" w:cs="Times New Roman"/>
          <w:color w:val="auto"/>
        </w:rPr>
        <w:t>应尽可能利用现有堤防和有利地形，修筑在土质较好、比较稳定的滩岸上，留有适当宽度的滩地，尽可能避开软弱地基、深水地带、古河道、强透水地基。</w:t>
      </w:r>
    </w:p>
    <w:p>
      <w:pPr>
        <w:ind w:firstLine="560"/>
        <w:outlineLvl w:val="2"/>
        <w:rPr>
          <w:rFonts w:hint="eastAsia" w:ascii="Times New Roman" w:hAnsi="Times New Roman" w:eastAsia="宋体" w:cs="Times New Roman"/>
          <w:b/>
          <w:bCs/>
          <w:color w:val="auto"/>
          <w:kern w:val="2"/>
          <w:sz w:val="30"/>
          <w:szCs w:val="32"/>
          <w:lang w:val="en-US" w:eastAsia="zh-CN" w:bidi="ar-SA"/>
        </w:rPr>
      </w:pPr>
      <w:r>
        <w:rPr>
          <w:rFonts w:hint="eastAsia" w:cs="Times New Roman"/>
          <w:b/>
          <w:bCs/>
          <w:color w:val="auto"/>
          <w:kern w:val="2"/>
          <w:sz w:val="30"/>
          <w:szCs w:val="32"/>
          <w:lang w:val="en-US" w:eastAsia="zh-CN" w:bidi="ar-SA"/>
        </w:rPr>
        <w:t>2</w:t>
      </w:r>
      <w:r>
        <w:rPr>
          <w:rFonts w:hint="eastAsia" w:ascii="Times New Roman" w:hAnsi="Times New Roman" w:eastAsia="宋体" w:cs="Times New Roman"/>
          <w:b/>
          <w:bCs/>
          <w:color w:val="auto"/>
          <w:kern w:val="2"/>
          <w:sz w:val="30"/>
          <w:szCs w:val="32"/>
          <w:lang w:val="en-US" w:eastAsia="zh-CN" w:bidi="ar-SA"/>
        </w:rPr>
        <w:t>.2.2设计类型</w:t>
      </w:r>
    </w:p>
    <w:p>
      <w:pPr>
        <w:bidi w:val="0"/>
        <w:rPr>
          <w:rFonts w:hint="eastAsia" w:ascii="Times New Roman" w:hAnsi="Times New Roman" w:cs="Times New Roman"/>
          <w:color w:val="auto"/>
        </w:rPr>
      </w:pPr>
      <w:r>
        <w:rPr>
          <w:rFonts w:hint="eastAsia" w:ascii="Times New Roman" w:hAnsi="Times New Roman" w:cs="Times New Roman"/>
          <w:color w:val="auto"/>
        </w:rPr>
        <w:t>护岸首先既要防止水流对岸线两岸的冲刷，确保区域的防洪安全，又要形成优美的水体景观，并保证工程区的水质安全。护岸类型按材料分为以下三类：</w:t>
      </w:r>
    </w:p>
    <w:p>
      <w:pPr>
        <w:bidi w:val="0"/>
        <w:rPr>
          <w:rFonts w:hint="eastAsia" w:ascii="Times New Roman" w:hAnsi="Times New Roman" w:cs="Times New Roman"/>
          <w:color w:val="auto"/>
        </w:rPr>
      </w:pPr>
      <w:r>
        <w:rPr>
          <w:rFonts w:hint="eastAsia" w:cs="Times New Roman"/>
          <w:color w:val="auto"/>
          <w:lang w:eastAsia="zh-CN"/>
        </w:rPr>
        <w:t>（</w:t>
      </w:r>
      <w:r>
        <w:rPr>
          <w:rFonts w:hint="eastAsia" w:cs="Times New Roman"/>
          <w:color w:val="auto"/>
          <w:lang w:val="en-US" w:eastAsia="zh-CN"/>
        </w:rPr>
        <w:t>1</w:t>
      </w:r>
      <w:r>
        <w:rPr>
          <w:rFonts w:hint="eastAsia" w:cs="Times New Roman"/>
          <w:color w:val="auto"/>
          <w:lang w:eastAsia="zh-CN"/>
        </w:rPr>
        <w:t>）</w:t>
      </w:r>
      <w:r>
        <w:rPr>
          <w:rFonts w:hint="eastAsia" w:ascii="Times New Roman" w:hAnsi="Times New Roman" w:cs="Times New Roman"/>
          <w:color w:val="auto"/>
        </w:rPr>
        <w:t>天然材料护岸，包括草和草皮、合成材料加固的草、芦苇、柳树和其他的树、木结构、灌木、临时保护。</w:t>
      </w:r>
    </w:p>
    <w:p>
      <w:pPr>
        <w:bidi w:val="0"/>
        <w:rPr>
          <w:rFonts w:hint="eastAsia" w:ascii="Times New Roman" w:hAnsi="Times New Roman" w:cs="Times New Roman"/>
          <w:color w:val="auto"/>
        </w:rPr>
      </w:pPr>
      <w:r>
        <w:rPr>
          <w:rFonts w:hint="eastAsia" w:cs="Times New Roman"/>
          <w:color w:val="auto"/>
          <w:lang w:eastAsia="zh-CN"/>
        </w:rPr>
        <w:t>（</w:t>
      </w:r>
      <w:r>
        <w:rPr>
          <w:rFonts w:hint="eastAsia" w:cs="Times New Roman"/>
          <w:color w:val="auto"/>
          <w:lang w:val="en-US" w:eastAsia="zh-CN"/>
        </w:rPr>
        <w:t>2</w:t>
      </w:r>
      <w:r>
        <w:rPr>
          <w:rFonts w:hint="eastAsia" w:cs="Times New Roman"/>
          <w:color w:val="auto"/>
          <w:lang w:eastAsia="zh-CN"/>
        </w:rPr>
        <w:t>）</w:t>
      </w:r>
      <w:r>
        <w:rPr>
          <w:rFonts w:hint="eastAsia" w:ascii="Times New Roman" w:hAnsi="Times New Roman" w:cs="Times New Roman"/>
          <w:color w:val="auto"/>
        </w:rPr>
        <w:t>垂直护岸，有钢板桩、钢和石棉水泥沟槽板、石笼结构、混凝土和砖以及圬工重力挡土墙、预浇混凝土块、加筋土结构、其他低造价结构。</w:t>
      </w:r>
    </w:p>
    <w:p>
      <w:pPr>
        <w:bidi w:val="0"/>
        <w:rPr>
          <w:rFonts w:hint="eastAsia" w:ascii="Times New Roman" w:hAnsi="Times New Roman" w:cs="Times New Roman"/>
          <w:color w:val="auto"/>
        </w:rPr>
      </w:pPr>
      <w:r>
        <w:rPr>
          <w:rFonts w:hint="eastAsia" w:cs="Times New Roman"/>
          <w:color w:val="auto"/>
          <w:lang w:eastAsia="zh-CN"/>
        </w:rPr>
        <w:t>（</w:t>
      </w:r>
      <w:r>
        <w:rPr>
          <w:rFonts w:hint="eastAsia" w:cs="Times New Roman"/>
          <w:color w:val="auto"/>
          <w:lang w:val="en-US" w:eastAsia="zh-CN"/>
        </w:rPr>
        <w:t>3</w:t>
      </w:r>
      <w:r>
        <w:rPr>
          <w:rFonts w:hint="eastAsia" w:cs="Times New Roman"/>
          <w:color w:val="auto"/>
          <w:lang w:eastAsia="zh-CN"/>
        </w:rPr>
        <w:t>）</w:t>
      </w:r>
      <w:r>
        <w:rPr>
          <w:rFonts w:hint="eastAsia" w:ascii="Times New Roman" w:hAnsi="Times New Roman" w:cs="Times New Roman"/>
          <w:color w:val="auto"/>
        </w:rPr>
        <w:t>铺砌护岸，包括石头中的抛石、砌石、圬工、石笼沉排、灌浆结构；混凝土中的混凝土块、现浇混凝土板、土木织物沉排；土工织物和土工膜的有草复合结构、面层和栅格、二维结构（织物）。</w:t>
      </w:r>
    </w:p>
    <w:p>
      <w:pPr>
        <w:ind w:firstLine="560"/>
        <w:outlineLvl w:val="2"/>
        <w:rPr>
          <w:rFonts w:hint="eastAsia" w:ascii="Times New Roman" w:hAnsi="Times New Roman" w:eastAsia="宋体" w:cs="Times New Roman"/>
          <w:b/>
          <w:bCs/>
          <w:color w:val="auto"/>
          <w:kern w:val="2"/>
          <w:sz w:val="30"/>
          <w:szCs w:val="32"/>
          <w:lang w:val="en-US" w:eastAsia="zh-CN" w:bidi="ar-SA"/>
        </w:rPr>
      </w:pPr>
      <w:r>
        <w:rPr>
          <w:rFonts w:hint="eastAsia" w:cs="Times New Roman"/>
          <w:b/>
          <w:bCs/>
          <w:color w:val="auto"/>
          <w:kern w:val="2"/>
          <w:sz w:val="30"/>
          <w:szCs w:val="32"/>
          <w:lang w:val="en-US" w:eastAsia="zh-CN" w:bidi="ar-SA"/>
        </w:rPr>
        <w:t>2</w:t>
      </w:r>
      <w:r>
        <w:rPr>
          <w:rFonts w:hint="eastAsia" w:ascii="Times New Roman" w:hAnsi="Times New Roman" w:eastAsia="宋体" w:cs="Times New Roman"/>
          <w:b/>
          <w:bCs/>
          <w:color w:val="auto"/>
          <w:kern w:val="2"/>
          <w:sz w:val="30"/>
          <w:szCs w:val="32"/>
          <w:lang w:val="en-US" w:eastAsia="zh-CN" w:bidi="ar-SA"/>
        </w:rPr>
        <w:t>.2.3护岸技术</w:t>
      </w:r>
    </w:p>
    <w:p>
      <w:pPr>
        <w:bidi w:val="0"/>
        <w:rPr>
          <w:rFonts w:hint="eastAsia" w:cs="Times New Roman"/>
          <w:color w:val="auto"/>
          <w:highlight w:val="none"/>
          <w:lang w:eastAsia="zh-CN"/>
        </w:rPr>
      </w:pPr>
      <w:r>
        <w:rPr>
          <w:rFonts w:hint="eastAsia" w:cs="Times New Roman"/>
          <w:color w:val="auto"/>
          <w:highlight w:val="none"/>
          <w:lang w:eastAsia="zh-CN"/>
        </w:rPr>
        <w:t>本项目根据不同流域的水流流量情况，选址相应类型的护岸技术。对于水流量小、防洪要求低的的岸线段，采用天然材料护岸技术；对于水流量大、防洪要求高的岸线段，采用工程护岸技术。</w:t>
      </w:r>
      <w:bookmarkStart w:id="38" w:name="_Toc16767"/>
      <w:bookmarkStart w:id="39" w:name="_Toc18749"/>
      <w:bookmarkStart w:id="40" w:name="_Toc305013625"/>
      <w:bookmarkStart w:id="41" w:name="_Toc444867636"/>
    </w:p>
    <w:p>
      <w:pPr>
        <w:pStyle w:val="2"/>
        <w:bidi w:val="0"/>
        <w:outlineLvl w:val="0"/>
        <w:rPr>
          <w:rFonts w:hint="default" w:ascii="Times New Roman" w:hAnsi="Times New Roman" w:eastAsia="宋体" w:cs="Times New Roman"/>
          <w:color w:val="auto"/>
        </w:rPr>
      </w:pPr>
      <w:bookmarkStart w:id="42" w:name="_Toc23993"/>
      <w:r>
        <w:rPr>
          <w:rFonts w:hint="eastAsia" w:eastAsia="宋体" w:cs="Times New Roman"/>
          <w:color w:val="auto"/>
          <w:lang w:val="en-US" w:eastAsia="zh-CN"/>
        </w:rPr>
        <w:t>3</w:t>
      </w:r>
      <w:r>
        <w:rPr>
          <w:rFonts w:hint="default" w:ascii="Times New Roman" w:hAnsi="Times New Roman" w:eastAsia="宋体" w:cs="Times New Roman"/>
          <w:color w:val="auto"/>
        </w:rPr>
        <w:t>项目概况</w:t>
      </w:r>
      <w:bookmarkEnd w:id="42"/>
    </w:p>
    <w:p>
      <w:pPr>
        <w:pStyle w:val="3"/>
        <w:bidi w:val="0"/>
        <w:outlineLvl w:val="0"/>
        <w:rPr>
          <w:rFonts w:hint="default"/>
          <w:color w:val="auto"/>
        </w:rPr>
      </w:pPr>
      <w:bookmarkStart w:id="43" w:name="_Toc18935"/>
      <w:bookmarkStart w:id="44" w:name="_Toc9491"/>
      <w:bookmarkStart w:id="45" w:name="_Toc30553"/>
      <w:r>
        <w:rPr>
          <w:rFonts w:hint="default"/>
          <w:color w:val="auto"/>
        </w:rPr>
        <w:fldChar w:fldCharType="begin"/>
      </w:r>
      <w:r>
        <w:rPr>
          <w:rFonts w:hint="default"/>
          <w:color w:val="auto"/>
        </w:rPr>
        <w:instrText xml:space="preserve"> HYPERLINK \l "_Toc92618404" </w:instrText>
      </w:r>
      <w:r>
        <w:rPr>
          <w:rFonts w:hint="default"/>
          <w:color w:val="auto"/>
        </w:rPr>
        <w:fldChar w:fldCharType="separate"/>
      </w:r>
      <w:r>
        <w:rPr>
          <w:rFonts w:hint="eastAsia"/>
          <w:color w:val="auto"/>
          <w:lang w:val="en-US" w:eastAsia="zh-CN"/>
        </w:rPr>
        <w:t>3</w:t>
      </w:r>
      <w:r>
        <w:rPr>
          <w:rFonts w:hint="default"/>
          <w:color w:val="auto"/>
        </w:rPr>
        <w:t>.1</w:t>
      </w:r>
      <w:r>
        <w:rPr>
          <w:rFonts w:hint="default"/>
          <w:color w:val="auto"/>
          <w:lang w:eastAsia="zh-CN"/>
        </w:rPr>
        <w:t>项目区</w:t>
      </w:r>
      <w:r>
        <w:rPr>
          <w:rFonts w:hint="default"/>
          <w:color w:val="auto"/>
        </w:rPr>
        <w:t>概况</w:t>
      </w:r>
      <w:r>
        <w:rPr>
          <w:rFonts w:hint="default"/>
          <w:color w:val="auto"/>
        </w:rPr>
        <w:fldChar w:fldCharType="end"/>
      </w:r>
      <w:bookmarkEnd w:id="43"/>
      <w:bookmarkEnd w:id="44"/>
      <w:bookmarkEnd w:id="45"/>
    </w:p>
    <w:p>
      <w:pPr>
        <w:pStyle w:val="4"/>
        <w:bidi w:val="0"/>
        <w:ind w:left="0" w:leftChars="0" w:firstLine="0" w:firstLineChars="0"/>
        <w:outlineLvl w:val="2"/>
        <w:rPr>
          <w:rFonts w:hint="default" w:cs="Times New Roman"/>
          <w:color w:val="auto"/>
          <w:lang w:val="en-US" w:eastAsia="zh-CN"/>
        </w:rPr>
      </w:pPr>
      <w:bookmarkStart w:id="46" w:name="_Toc14071"/>
      <w:r>
        <w:rPr>
          <w:rFonts w:hint="eastAsia" w:cs="Times New Roman"/>
          <w:color w:val="auto"/>
          <w:lang w:val="en-US" w:eastAsia="zh-CN"/>
        </w:rPr>
        <w:t>3</w:t>
      </w:r>
      <w:r>
        <w:rPr>
          <w:rFonts w:hint="default" w:cs="Times New Roman"/>
          <w:color w:val="auto"/>
          <w:lang w:val="en-US" w:eastAsia="zh-CN"/>
        </w:rPr>
        <w:t>.1.1地理位置及范围</w:t>
      </w:r>
      <w:bookmarkEnd w:id="46"/>
    </w:p>
    <w:p>
      <w:pPr>
        <w:pStyle w:val="6"/>
        <w:rPr>
          <w:rFonts w:hint="eastAsia"/>
          <w:color w:val="auto"/>
          <w:lang w:val="en-US" w:eastAsia="zh-CN"/>
        </w:rPr>
      </w:pPr>
      <w:bookmarkStart w:id="47" w:name="_Toc22899"/>
      <w:r>
        <w:rPr>
          <w:rFonts w:hint="eastAsia" w:ascii="Times New Roman" w:hAnsi="Times New Roman" w:eastAsia="宋体" w:cs="Times New Roman"/>
          <w:color w:val="auto"/>
          <w:kern w:val="2"/>
          <w:sz w:val="24"/>
          <w:szCs w:val="24"/>
          <w:lang w:val="en-US" w:eastAsia="zh-CN" w:bidi="ar-SA"/>
        </w:rPr>
        <w:t>牛氏湖位于湖南省华容县境内，原是东洞庭湖西部的一部分，后因围湖垦植和泥沙淤积分为几个小湖。牛氏湖共有5个湖泊，即</w:t>
      </w:r>
      <w:r>
        <w:rPr>
          <w:rFonts w:hint="eastAsia" w:eastAsia="宋体" w:cs="Times New Roman"/>
          <w:color w:val="auto"/>
          <w:kern w:val="2"/>
          <w:sz w:val="24"/>
          <w:szCs w:val="24"/>
          <w:lang w:val="en-US" w:eastAsia="zh-CN" w:bidi="ar-SA"/>
        </w:rPr>
        <w:t>牛氏</w:t>
      </w:r>
      <w:r>
        <w:rPr>
          <w:rFonts w:hint="eastAsia" w:ascii="Times New Roman" w:hAnsi="Times New Roman" w:eastAsia="宋体" w:cs="Times New Roman"/>
          <w:color w:val="auto"/>
          <w:kern w:val="2"/>
          <w:sz w:val="24"/>
          <w:szCs w:val="24"/>
          <w:lang w:val="en-US" w:eastAsia="zh-CN" w:bidi="ar-SA"/>
        </w:rPr>
        <w:t>湖面积6000亩、中西湖面积6300亩、下西湖5355亩、罗帐湖4500亩、团湖900亩。总面积27555亩。现今各湖已并为</w:t>
      </w:r>
      <w:r>
        <w:rPr>
          <w:rFonts w:hint="eastAsia" w:eastAsia="宋体" w:cs="Times New Roman"/>
          <w:color w:val="auto"/>
          <w:kern w:val="2"/>
          <w:sz w:val="24"/>
          <w:szCs w:val="24"/>
          <w:lang w:val="en-US" w:eastAsia="zh-CN" w:bidi="ar-SA"/>
        </w:rPr>
        <w:t>一</w:t>
      </w:r>
      <w:r>
        <w:rPr>
          <w:rFonts w:hint="eastAsia" w:ascii="Times New Roman" w:hAnsi="Times New Roman" w:eastAsia="宋体" w:cs="Times New Roman"/>
          <w:color w:val="auto"/>
          <w:kern w:val="2"/>
          <w:sz w:val="24"/>
          <w:szCs w:val="24"/>
          <w:lang w:val="en-US" w:eastAsia="zh-CN" w:bidi="ar-SA"/>
        </w:rPr>
        <w:t>体。</w:t>
      </w:r>
    </w:p>
    <w:p>
      <w:pPr>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华容县位于湖南省北部边陲，岳阳市西境，北倚长江，南滨洞庭湖。周邻6县(市)、农场，东与岳阳市君山区交界，西与益阳市南县相邻，南连国营北洲子农场北接湖北省石首市，东北与湖省监利县隔江而望。本项目建设地点位于岳阳市华容县新河乡。</w:t>
      </w:r>
    </w:p>
    <w:p>
      <w:pPr>
        <w:ind w:left="0" w:leftChars="0" w:firstLine="0" w:firstLineChars="0"/>
        <w:rPr>
          <w:rFonts w:hint="eastAsia"/>
          <w:color w:val="auto"/>
          <w:lang w:val="en-US" w:eastAsia="zh-CN"/>
        </w:rPr>
      </w:pPr>
      <w:r>
        <w:rPr>
          <w:rFonts w:hint="eastAsia"/>
          <w:color w:val="auto"/>
          <w:lang w:val="en-US" w:eastAsia="zh-CN"/>
        </w:rPr>
        <w:drawing>
          <wp:inline distT="0" distB="0" distL="114300" distR="114300">
            <wp:extent cx="5941060" cy="4283075"/>
            <wp:effectExtent l="9525" t="9525" r="12065" b="12700"/>
            <wp:docPr id="12" name="图片 12" descr="1691984479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91984479376"/>
                    <pic:cNvPicPr>
                      <a:picLocks noChangeAspect="1"/>
                    </pic:cNvPicPr>
                  </pic:nvPicPr>
                  <pic:blipFill>
                    <a:blip r:embed="rId10"/>
                    <a:stretch>
                      <a:fillRect/>
                    </a:stretch>
                  </pic:blipFill>
                  <pic:spPr>
                    <a:xfrm>
                      <a:off x="0" y="0"/>
                      <a:ext cx="5941060" cy="4283075"/>
                    </a:xfrm>
                    <a:prstGeom prst="rect">
                      <a:avLst/>
                    </a:prstGeom>
                    <a:ln>
                      <a:solidFill>
                        <a:schemeClr val="tx1"/>
                      </a:solidFill>
                    </a:ln>
                  </pic:spPr>
                </pic:pic>
              </a:graphicData>
            </a:graphic>
          </wp:inline>
        </w:drawing>
      </w:r>
    </w:p>
    <w:p>
      <w:pPr>
        <w:pStyle w:val="4"/>
        <w:bidi w:val="0"/>
        <w:ind w:left="0" w:leftChars="0" w:firstLine="0" w:firstLineChars="0"/>
        <w:outlineLvl w:val="2"/>
        <w:rPr>
          <w:rFonts w:hint="default" w:cs="Times New Roman"/>
          <w:color w:val="auto"/>
          <w:lang w:val="en-US" w:eastAsia="zh-CN"/>
        </w:rPr>
      </w:pPr>
      <w:r>
        <w:rPr>
          <w:rFonts w:hint="eastAsia" w:cs="Times New Roman"/>
          <w:color w:val="auto"/>
          <w:lang w:val="en-US" w:eastAsia="zh-CN"/>
        </w:rPr>
        <w:t>3</w:t>
      </w:r>
      <w:r>
        <w:rPr>
          <w:rFonts w:hint="default" w:cs="Times New Roman"/>
          <w:color w:val="auto"/>
          <w:lang w:val="en-US" w:eastAsia="zh-CN"/>
        </w:rPr>
        <w:t>.1.2地形、地貌</w:t>
      </w:r>
      <w:bookmarkEnd w:id="47"/>
    </w:p>
    <w:p>
      <w:pPr>
        <w:pStyle w:val="6"/>
        <w:keepNext w:val="0"/>
        <w:keepLines w:val="0"/>
        <w:pageBreakBefore w:val="0"/>
        <w:widowControl w:val="0"/>
        <w:numPr>
          <w:ilvl w:val="0"/>
          <w:numId w:val="0"/>
        </w:numPr>
        <w:kinsoku/>
        <w:wordWrap/>
        <w:overflowPunct/>
        <w:topLinePunct w:val="0"/>
        <w:autoSpaceDE/>
        <w:autoSpaceDN/>
        <w:bidi w:val="0"/>
        <w:adjustRightInd w:val="0"/>
        <w:snapToGrid w:val="0"/>
        <w:ind w:firstLine="480" w:firstLineChars="200"/>
        <w:textAlignment w:val="auto"/>
        <w:rPr>
          <w:rFonts w:hint="eastAsia" w:ascii="Times New Roman" w:hAnsi="Times New Roman" w:eastAsia="宋体" w:cs="Times New Roman"/>
          <w:b w:val="0"/>
          <w:bCs w:val="0"/>
          <w:color w:val="auto"/>
          <w:kern w:val="2"/>
          <w:sz w:val="24"/>
          <w:szCs w:val="24"/>
          <w:lang w:val="en-US" w:eastAsia="zh-CN" w:bidi="ar-SA"/>
        </w:rPr>
      </w:pPr>
      <w:bookmarkStart w:id="48" w:name="_Toc32066"/>
      <w:bookmarkStart w:id="49" w:name="_Toc22344"/>
      <w:r>
        <w:rPr>
          <w:rFonts w:hint="eastAsia" w:ascii="Times New Roman" w:hAnsi="Times New Roman" w:eastAsia="宋体" w:cs="Times New Roman"/>
          <w:b w:val="0"/>
          <w:bCs w:val="0"/>
          <w:color w:val="auto"/>
          <w:kern w:val="2"/>
          <w:sz w:val="24"/>
          <w:szCs w:val="24"/>
          <w:lang w:val="en-US" w:eastAsia="zh-CN" w:bidi="ar-SA"/>
        </w:rPr>
        <w:t>华容县地处洞庭湖凹盆地北缘，地势北高南低，中部丘岗隆起，东西低平开阔，微向东洞庭湖倾斜。全县按地貌类型可分为平原和山地两大类。平原面积1028平方公里（不含江、湖、河、库等水域），按成因可分为：江河平原、溪谷平原和滨湖平原；山地总面积328平方公里；按高程可分为岗地、丘陵、低山3类。县境内地貌分区特征较为明显：东北部为低山丘陵区，间有溪谷平原，中南部为丘岗区，其余为平原。</w:t>
      </w:r>
    </w:p>
    <w:bookmarkEnd w:id="48"/>
    <w:bookmarkEnd w:id="49"/>
    <w:p>
      <w:pPr>
        <w:pStyle w:val="3"/>
        <w:bidi w:val="0"/>
        <w:outlineLvl w:val="0"/>
        <w:rPr>
          <w:rFonts w:hint="default"/>
          <w:color w:val="auto"/>
        </w:rPr>
      </w:pPr>
      <w:bookmarkStart w:id="50" w:name="_Toc22603"/>
      <w:bookmarkStart w:id="51" w:name="_Toc27597"/>
      <w:bookmarkStart w:id="52" w:name="_Toc26654"/>
      <w:r>
        <w:rPr>
          <w:rFonts w:hint="eastAsia"/>
          <w:color w:val="auto"/>
          <w:lang w:val="en-US" w:eastAsia="zh-CN"/>
        </w:rPr>
        <w:t>3</w:t>
      </w:r>
      <w:r>
        <w:rPr>
          <w:rFonts w:hint="default"/>
          <w:color w:val="auto"/>
        </w:rPr>
        <w:t>.</w:t>
      </w:r>
      <w:r>
        <w:rPr>
          <w:rFonts w:hint="eastAsia"/>
          <w:color w:val="auto"/>
          <w:lang w:val="en-US" w:eastAsia="zh-CN"/>
        </w:rPr>
        <w:t>2</w:t>
      </w:r>
      <w:r>
        <w:rPr>
          <w:rFonts w:hint="default"/>
          <w:color w:val="auto"/>
        </w:rPr>
        <w:t>水文气象</w:t>
      </w:r>
      <w:bookmarkEnd w:id="50"/>
      <w:bookmarkEnd w:id="51"/>
      <w:bookmarkEnd w:id="52"/>
    </w:p>
    <w:p>
      <w:pPr>
        <w:pStyle w:val="4"/>
        <w:bidi w:val="0"/>
        <w:ind w:left="0" w:leftChars="0" w:firstLine="0" w:firstLineChars="0"/>
        <w:outlineLvl w:val="2"/>
        <w:rPr>
          <w:rFonts w:hint="eastAsia" w:cs="Times New Roman"/>
          <w:color w:val="auto"/>
          <w:lang w:val="en-US" w:eastAsia="zh-CN"/>
        </w:rPr>
      </w:pPr>
      <w:r>
        <w:rPr>
          <w:rFonts w:hint="eastAsia" w:cs="Times New Roman"/>
          <w:color w:val="auto"/>
          <w:lang w:val="en-US" w:eastAsia="zh-CN"/>
        </w:rPr>
        <w:t>3.2.1水文水系</w:t>
      </w:r>
    </w:p>
    <w:p>
      <w:pPr>
        <w:pStyle w:val="6"/>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华容境内湖泊星布，河流网织，水系发达。有内湖21个，蓄水面积74.5平方公里，调蓄水量12154万立米，内河8条，长83.80公里，蓄水量3018万立米。水库73座，其中中型水库3座，小（一）型水库5座，小（二）型水库65座，山塘港垱6174处，总蓄水量9139.87万立方米。</w:t>
      </w:r>
    </w:p>
    <w:p>
      <w:pPr>
        <w:pStyle w:val="4"/>
        <w:bidi w:val="0"/>
        <w:ind w:left="0" w:leftChars="0" w:firstLine="0" w:firstLineChars="0"/>
        <w:outlineLvl w:val="2"/>
        <w:rPr>
          <w:rFonts w:hint="eastAsia" w:cs="Times New Roman"/>
          <w:color w:val="auto"/>
          <w:lang w:val="en-US" w:eastAsia="zh-CN"/>
        </w:rPr>
      </w:pPr>
      <w:r>
        <w:rPr>
          <w:rFonts w:hint="eastAsia" w:cs="Times New Roman"/>
          <w:color w:val="auto"/>
          <w:lang w:val="en-US" w:eastAsia="zh-CN"/>
        </w:rPr>
        <w:t>3.2.2气候条件</w:t>
      </w:r>
    </w:p>
    <w:p>
      <w:pPr>
        <w:pStyle w:val="6"/>
        <w:keepNext w:val="0"/>
        <w:keepLines w:val="0"/>
        <w:pageBreakBefore w:val="0"/>
        <w:widowControl w:val="0"/>
        <w:numPr>
          <w:ilvl w:val="0"/>
          <w:numId w:val="0"/>
        </w:numPr>
        <w:kinsoku/>
        <w:wordWrap/>
        <w:overflowPunct/>
        <w:topLinePunct w:val="0"/>
        <w:autoSpaceDE/>
        <w:autoSpaceDN/>
        <w:bidi w:val="0"/>
        <w:adjustRightInd w:val="0"/>
        <w:snapToGrid w:val="0"/>
        <w:ind w:firstLine="480" w:firstLineChars="200"/>
        <w:textAlignment w:val="auto"/>
        <w:rPr>
          <w:color w:val="auto"/>
        </w:rPr>
      </w:pPr>
      <w:r>
        <w:rPr>
          <w:rFonts w:hint="eastAsia" w:ascii="Times New Roman" w:hAnsi="Times New Roman" w:eastAsia="宋体" w:cs="Times New Roman"/>
          <w:b w:val="0"/>
          <w:bCs w:val="0"/>
          <w:color w:val="auto"/>
          <w:kern w:val="2"/>
          <w:sz w:val="24"/>
          <w:szCs w:val="24"/>
          <w:lang w:val="en-US" w:eastAsia="zh-CN" w:bidi="ar-SA"/>
        </w:rPr>
        <w:t>华容地属北亚热带，为湿润性大陆季风气候。具有“气候温和，四季分明，热量充足，雨水集中；春暖多变，夏秋多旱，严寒期短，暑热期长”的特点。2021年度：平均气温18.0℃，较历年高1.2℃；年极端最高气温38.3℃,出现在8月17日,年极端最低气温-4.1℃,出现在1月1日；年总降水量1065.7mm，较历年偏少224.1mm，日最大降水量65.0mm，出现在5月26日；年日照总时数为1575.7小时，偏少156.7小时；暴雨日2天；无霜期283天。2021年年平均气温偏高，7-9月出现高温热害天气过程；降水量前后偏多，中间偏少，1-2月出现历史罕见的持续寡照天气，并且出现连阴雨天气，8-10月出现持续干旱天气过程；年日照偏少，日照年百分率为35%。</w:t>
      </w:r>
    </w:p>
    <w:p>
      <w:pPr>
        <w:pStyle w:val="2"/>
        <w:bidi w:val="0"/>
        <w:outlineLvl w:val="0"/>
        <w:rPr>
          <w:rFonts w:hint="default" w:eastAsia="宋体" w:cs="Times New Roman"/>
          <w:color w:val="auto"/>
          <w:lang w:val="en-US" w:eastAsia="zh-CN"/>
        </w:rPr>
      </w:pPr>
      <w:bookmarkStart w:id="53" w:name="_Toc9654"/>
      <w:bookmarkStart w:id="54" w:name="_Toc1110"/>
      <w:r>
        <w:rPr>
          <w:rFonts w:hint="eastAsia" w:eastAsia="宋体" w:cs="Times New Roman"/>
          <w:color w:val="auto"/>
          <w:lang w:val="en-US" w:eastAsia="zh-CN"/>
        </w:rPr>
        <w:t>4建设</w:t>
      </w:r>
      <w:bookmarkEnd w:id="53"/>
      <w:r>
        <w:rPr>
          <w:rFonts w:hint="eastAsia" w:eastAsia="宋体" w:cs="Times New Roman"/>
          <w:color w:val="auto"/>
          <w:lang w:val="en-US" w:eastAsia="zh-CN"/>
        </w:rPr>
        <w:t>任务与目标</w:t>
      </w:r>
      <w:bookmarkEnd w:id="54"/>
    </w:p>
    <w:p>
      <w:pPr>
        <w:pStyle w:val="3"/>
        <w:bidi w:val="0"/>
        <w:outlineLvl w:val="0"/>
        <w:rPr>
          <w:rFonts w:hint="eastAsia"/>
          <w:color w:val="auto"/>
          <w:lang w:val="en-GB" w:eastAsia="zh-CN"/>
        </w:rPr>
      </w:pPr>
      <w:bookmarkStart w:id="55" w:name="_Toc11721"/>
      <w:r>
        <w:rPr>
          <w:rFonts w:hint="eastAsia"/>
          <w:color w:val="auto"/>
          <w:lang w:val="en-US" w:eastAsia="zh-CN"/>
        </w:rPr>
        <w:t>4.1</w:t>
      </w:r>
      <w:r>
        <w:rPr>
          <w:rFonts w:hint="default"/>
          <w:color w:val="auto"/>
          <w:lang w:val="en-GB" w:eastAsia="zh-CN"/>
        </w:rPr>
        <w:t>主要建设内容</w:t>
      </w:r>
      <w:bookmarkEnd w:id="55"/>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default" w:ascii="宋体" w:hAnsi="宋体"/>
          <w:color w:val="auto"/>
          <w:sz w:val="24"/>
          <w:szCs w:val="24"/>
          <w:highlight w:val="yellow"/>
          <w:lang w:val="en-US"/>
        </w:rPr>
      </w:pPr>
      <w:r>
        <w:rPr>
          <w:rFonts w:hint="eastAsia" w:ascii="Times New Roman" w:hAnsi="Times New Roman" w:cs="Times New Roman"/>
          <w:color w:val="auto"/>
          <w:kern w:val="2"/>
          <w:sz w:val="24"/>
          <w:szCs w:val="24"/>
          <w:lang w:val="en-US" w:eastAsia="zh-CN" w:bidi="ar-SA"/>
        </w:rPr>
        <w:t>本项目区涉及2个乡镇4个村，项目实施地点分别为新河乡（十三刀村、牛角尖村、新合村），北景港镇（</w:t>
      </w:r>
      <w:r>
        <w:rPr>
          <w:rFonts w:hint="eastAsia" w:cs="Times New Roman"/>
          <w:color w:val="auto"/>
          <w:kern w:val="2"/>
          <w:sz w:val="24"/>
          <w:szCs w:val="24"/>
          <w:lang w:val="en-US" w:eastAsia="zh-CN" w:bidi="ar-SA"/>
        </w:rPr>
        <w:t>联盟村</w:t>
      </w:r>
      <w:r>
        <w:rPr>
          <w:rFonts w:hint="eastAsia" w:ascii="Times New Roman" w:hAnsi="Times New Roman" w:cs="Times New Roman"/>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Times New Roman" w:hAnsi="Times New Roman" w:cs="Times New Roman"/>
          <w:color w:val="auto"/>
          <w:kern w:val="2"/>
          <w:sz w:val="24"/>
          <w:szCs w:val="24"/>
          <w:lang w:val="en-US" w:eastAsia="zh-CN" w:bidi="ar-SA"/>
        </w:rPr>
      </w:pPr>
      <w:r>
        <w:rPr>
          <w:rFonts w:hint="eastAsia" w:ascii="Times New Roman" w:hAnsi="Times New Roman" w:cs="Times New Roman"/>
          <w:color w:val="auto"/>
          <w:kern w:val="2"/>
          <w:sz w:val="24"/>
          <w:szCs w:val="24"/>
          <w:lang w:val="en-US" w:eastAsia="zh-CN" w:bidi="ar-SA"/>
        </w:rPr>
        <w:t>本次设计拟采用污染底泥清理工程、生态护坡设计工程等工程进行综合改造，主要建设内容如下：</w:t>
      </w:r>
    </w:p>
    <w:p>
      <w:pPr>
        <w:pStyle w:val="6"/>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（1）污染底泥清理工程：藕塘底泥清淤与外运</w:t>
      </w:r>
      <w:r>
        <w:rPr>
          <w:rFonts w:hint="eastAsia" w:eastAsia="宋体" w:cs="Times New Roman"/>
          <w:color w:val="auto"/>
          <w:kern w:val="2"/>
          <w:sz w:val="24"/>
          <w:szCs w:val="24"/>
          <w:lang w:val="en-US" w:eastAsia="zh-CN" w:bidi="ar-SA"/>
        </w:rPr>
        <w:t>64982.62</w:t>
      </w:r>
      <w:r>
        <w:rPr>
          <w:rFonts w:hint="eastAsia" w:ascii="Times New Roman" w:hAnsi="Times New Roman" w:eastAsia="宋体" w:cs="Times New Roman"/>
          <w:color w:val="auto"/>
          <w:kern w:val="2"/>
          <w:sz w:val="24"/>
          <w:szCs w:val="24"/>
          <w:lang w:val="en-US" w:eastAsia="zh-CN" w:bidi="ar-SA"/>
        </w:rPr>
        <w:t>m3清淤深度</w:t>
      </w:r>
      <w:r>
        <w:rPr>
          <w:rFonts w:hint="eastAsia" w:eastAsia="宋体" w:cs="Times New Roman"/>
          <w:color w:val="auto"/>
          <w:kern w:val="2"/>
          <w:sz w:val="24"/>
          <w:szCs w:val="24"/>
          <w:lang w:val="en-US" w:eastAsia="zh-CN" w:bidi="ar-SA"/>
        </w:rPr>
        <w:t>0.8</w:t>
      </w:r>
      <w:r>
        <w:rPr>
          <w:rFonts w:hint="eastAsia" w:ascii="Times New Roman" w:hAnsi="Times New Roman" w:eastAsia="宋体" w:cs="Times New Roman"/>
          <w:color w:val="auto"/>
          <w:kern w:val="2"/>
          <w:sz w:val="24"/>
          <w:szCs w:val="24"/>
          <w:lang w:val="en-US" w:eastAsia="zh-CN" w:bidi="ar-SA"/>
        </w:rPr>
        <w:t>m。</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（2）生态护坡设计工程：</w:t>
      </w:r>
      <w:r>
        <w:rPr>
          <w:rFonts w:hint="eastAsia" w:eastAsia="宋体" w:cs="Times New Roman"/>
          <w:color w:val="auto"/>
          <w:sz w:val="24"/>
          <w:szCs w:val="24"/>
          <w:lang w:val="en-US" w:eastAsia="zh-CN"/>
        </w:rPr>
        <w:t>向阳渠护坡1381m，长艳湖电排渠护坡1027m，五七渠护坡护坡1431m，牛氏湖护坡(牛角尖段)1141m，牛氏湖护坡(十三刀段）Ⅰ型3条，长2495m，牛氏湖护坡(十三刀段）Ⅱ型1条，长805m</w:t>
      </w:r>
      <w:r>
        <w:rPr>
          <w:rFonts w:hint="eastAsia" w:ascii="Times New Roman" w:hAnsi="Times New Roman" w:eastAsia="宋体" w:cs="Times New Roman"/>
          <w:color w:val="auto"/>
          <w:kern w:val="2"/>
          <w:sz w:val="24"/>
          <w:szCs w:val="24"/>
          <w:highlight w:val="none"/>
          <w:lang w:val="en-US" w:eastAsia="zh-CN" w:bidi="ar-SA"/>
        </w:rPr>
        <w:t>。</w:t>
      </w:r>
    </w:p>
    <w:p>
      <w:pPr>
        <w:pStyle w:val="3"/>
        <w:bidi w:val="0"/>
        <w:outlineLvl w:val="0"/>
        <w:rPr>
          <w:rFonts w:hint="eastAsia"/>
          <w:color w:val="auto"/>
          <w:highlight w:val="none"/>
          <w:lang w:val="en-US" w:eastAsia="zh-CN"/>
        </w:rPr>
      </w:pPr>
      <w:bookmarkStart w:id="56" w:name="_Toc6669"/>
      <w:r>
        <w:rPr>
          <w:rFonts w:hint="eastAsia"/>
          <w:color w:val="auto"/>
          <w:highlight w:val="none"/>
          <w:lang w:val="en-US" w:eastAsia="zh-CN"/>
        </w:rPr>
        <w:t>4.2项目治理区域及目标</w:t>
      </w:r>
      <w:bookmarkEnd w:id="56"/>
    </w:p>
    <w:p>
      <w:pPr>
        <w:numPr>
          <w:ilvl w:val="0"/>
          <w:numId w:val="6"/>
        </w:numPr>
        <w:spacing w:beforeLines="0" w:afterLines="0"/>
        <w:jc w:val="both"/>
        <w:rPr>
          <w:rFonts w:hint="eastAsia"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项目治理区域：项目主要治理区域为牛氏湖十三刀村至牛角尖村段临湖渍堤及周边连接牛氏湖的主要排水渠道。</w:t>
      </w:r>
    </w:p>
    <w:p>
      <w:pPr>
        <w:numPr>
          <w:ilvl w:val="0"/>
          <w:numId w:val="0"/>
        </w:numPr>
        <w:spacing w:beforeLines="0" w:afterLines="0"/>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在保障行洪安全，兼顾排涝和水环境需求，维持湖势稳定、保障供水安全、保护水生态环境和其它公众利益活动的前提下，按照保护优先、开发有序、合理控制的要求，提出牛氏湖合理开发、有效利用、科学保护、强化管理的布局和方案，形成开发利用与治理保护紧密结合、协调发展的机制</w:t>
      </w:r>
      <w:r>
        <w:rPr>
          <w:rFonts w:hint="eastAsia" w:ascii="Times New Roman" w:hAnsi="Times New Roman" w:eastAsia="宋体" w:cs="Times New Roman"/>
          <w:color w:val="auto"/>
          <w:kern w:val="2"/>
          <w:sz w:val="24"/>
          <w:szCs w:val="24"/>
          <w:highlight w:val="none"/>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beforeLines="0" w:afterLines="0"/>
        <w:jc w:val="left"/>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color w:val="auto"/>
          <w:kern w:val="2"/>
          <w:sz w:val="24"/>
          <w:szCs w:val="24"/>
          <w:highlight w:val="none"/>
          <w:lang w:val="en-US" w:eastAsia="zh-CN" w:bidi="ar-SA"/>
        </w:rPr>
        <w:t>（3）</w:t>
      </w:r>
      <w:r>
        <w:rPr>
          <w:rFonts w:hint="eastAsia" w:cs="Times New Roman"/>
          <w:color w:val="auto"/>
          <w:kern w:val="2"/>
          <w:sz w:val="24"/>
          <w:szCs w:val="24"/>
          <w:highlight w:val="none"/>
          <w:lang w:val="en-US" w:eastAsia="zh-CN" w:bidi="ar-SA"/>
        </w:rPr>
        <w:t>通过此次治理，能够解决区域内由于淤泥累积造成的各种问题，包括易造成的恶性循环化水质问题，易造成底层水溶氧不足导致生态恶化问题，淤泥中沉积的重金属污染物和病原微生物污染问题</w:t>
      </w:r>
      <w:r>
        <w:rPr>
          <w:rFonts w:hint="eastAsia" w:ascii="Times New Roman" w:hAnsi="Times New Roman" w:eastAsia="宋体" w:cs="Times New Roman"/>
          <w:color w:val="auto"/>
          <w:kern w:val="2"/>
          <w:sz w:val="24"/>
          <w:szCs w:val="24"/>
          <w:highlight w:val="none"/>
          <w:lang w:val="en-US" w:eastAsia="zh-CN" w:bidi="ar-SA"/>
        </w:rPr>
        <w:t>。</w:t>
      </w:r>
    </w:p>
    <w:p>
      <w:pPr>
        <w:spacing w:beforeLines="0" w:afterLines="0"/>
        <w:jc w:val="left"/>
        <w:rPr>
          <w:rFonts w:hint="default" w:ascii="Times New Roman" w:hAnsi="Times New Roman" w:eastAsia="宋体" w:cs="Times New Roman"/>
          <w:color w:val="auto"/>
          <w:lang w:val="en-US" w:eastAsia="zh-CN"/>
        </w:rPr>
      </w:pPr>
      <w:r>
        <w:rPr>
          <w:rFonts w:hint="eastAsia" w:ascii="Times New Roman" w:hAnsi="Times New Roman" w:cs="Times New Roman"/>
          <w:color w:val="auto"/>
          <w:kern w:val="2"/>
          <w:sz w:val="24"/>
          <w:szCs w:val="24"/>
          <w:highlight w:val="none"/>
          <w:lang w:val="en-US" w:eastAsia="zh-CN" w:bidi="ar-SA"/>
        </w:rPr>
        <w:t>（4）</w:t>
      </w:r>
      <w:r>
        <w:rPr>
          <w:rFonts w:hint="eastAsia" w:cs="Times New Roman"/>
          <w:color w:val="auto"/>
          <w:kern w:val="2"/>
          <w:sz w:val="24"/>
          <w:szCs w:val="24"/>
          <w:highlight w:val="none"/>
          <w:lang w:val="en-US" w:eastAsia="zh-CN" w:bidi="ar-SA"/>
        </w:rPr>
        <w:t>解决项目区部分渠道由于边坡垮塌导致的渠道调蓄能力下降、沿线路基不稳造成生产安全无法保障等问题</w:t>
      </w:r>
      <w:r>
        <w:rPr>
          <w:rFonts w:hint="eastAsia" w:ascii="Times New Roman" w:hAnsi="Times New Roman" w:eastAsia="宋体" w:cs="Times New Roman"/>
          <w:color w:val="auto"/>
          <w:kern w:val="2"/>
          <w:sz w:val="24"/>
          <w:szCs w:val="24"/>
          <w:highlight w:val="none"/>
          <w:lang w:val="en-US" w:eastAsia="zh-CN" w:bidi="ar-SA"/>
        </w:rPr>
        <w:t>。</w:t>
      </w:r>
      <w:r>
        <w:rPr>
          <w:rFonts w:hint="default" w:ascii="Times New Roman" w:hAnsi="Times New Roman" w:eastAsia="宋体" w:cs="Times New Roman"/>
          <w:color w:val="auto"/>
          <w:lang w:val="en-US" w:eastAsia="zh-CN"/>
        </w:rPr>
        <w:br w:type="page"/>
      </w:r>
    </w:p>
    <w:bookmarkEnd w:id="38"/>
    <w:bookmarkEnd w:id="39"/>
    <w:p>
      <w:pPr>
        <w:pStyle w:val="2"/>
        <w:bidi w:val="0"/>
        <w:outlineLvl w:val="0"/>
        <w:rPr>
          <w:rFonts w:hint="default"/>
          <w:color w:val="auto"/>
          <w:lang w:val="en-US" w:eastAsia="zh-CN"/>
        </w:rPr>
      </w:pPr>
      <w:bookmarkStart w:id="57" w:name="_Toc20839"/>
      <w:bookmarkStart w:id="58" w:name="_Toc25526"/>
      <w:bookmarkStart w:id="59" w:name="_Toc12955"/>
      <w:r>
        <w:rPr>
          <w:rFonts w:hint="eastAsia"/>
          <w:color w:val="auto"/>
          <w:lang w:val="en-US" w:eastAsia="zh-CN"/>
        </w:rPr>
        <w:t>5</w:t>
      </w:r>
      <w:r>
        <w:rPr>
          <w:rFonts w:hint="default"/>
          <w:color w:val="auto"/>
          <w:lang w:val="en-US" w:eastAsia="zh-CN"/>
        </w:rPr>
        <w:t>工程管理</w:t>
      </w:r>
      <w:bookmarkEnd w:id="57"/>
      <w:bookmarkEnd w:id="58"/>
      <w:bookmarkEnd w:id="59"/>
    </w:p>
    <w:p>
      <w:pPr>
        <w:pStyle w:val="3"/>
        <w:bidi w:val="0"/>
        <w:outlineLvl w:val="1"/>
        <w:rPr>
          <w:rFonts w:hint="default"/>
          <w:color w:val="auto"/>
          <w:lang w:eastAsia="zh-CN"/>
        </w:rPr>
      </w:pPr>
      <w:bookmarkStart w:id="60" w:name="_Toc24514"/>
      <w:bookmarkStart w:id="61" w:name="_Toc18923"/>
      <w:bookmarkStart w:id="62" w:name="_Toc19277"/>
      <w:r>
        <w:rPr>
          <w:rFonts w:hint="eastAsia"/>
          <w:color w:val="auto"/>
          <w:lang w:val="en-US" w:eastAsia="zh-CN"/>
        </w:rPr>
        <w:t>5</w:t>
      </w:r>
      <w:r>
        <w:rPr>
          <w:rFonts w:hint="eastAsia"/>
          <w:color w:val="auto"/>
          <w:lang w:eastAsia="zh-CN"/>
        </w:rPr>
        <w:t>.</w:t>
      </w:r>
      <w:r>
        <w:rPr>
          <w:rFonts w:hint="default"/>
          <w:color w:val="auto"/>
        </w:rPr>
        <w:t>1</w:t>
      </w:r>
      <w:r>
        <w:rPr>
          <w:rFonts w:hint="default"/>
          <w:color w:val="auto"/>
          <w:lang w:eastAsia="zh-CN"/>
        </w:rPr>
        <w:t>工程建设管理</w:t>
      </w:r>
      <w:bookmarkEnd w:id="60"/>
      <w:bookmarkEnd w:id="61"/>
      <w:bookmarkEnd w:id="62"/>
    </w:p>
    <w:p>
      <w:pPr>
        <w:pStyle w:val="4"/>
        <w:bidi w:val="0"/>
        <w:ind w:left="0" w:leftChars="0" w:firstLine="0" w:firstLineChars="0"/>
        <w:outlineLvl w:val="2"/>
        <w:rPr>
          <w:rFonts w:hint="default" w:ascii="Times New Roman" w:hAnsi="Times New Roman" w:eastAsia="宋体" w:cs="Times New Roman"/>
          <w:color w:val="auto"/>
        </w:rPr>
      </w:pPr>
      <w:bookmarkStart w:id="63" w:name="_Toc28912"/>
      <w:r>
        <w:rPr>
          <w:rFonts w:hint="eastAsia" w:cs="Times New Roman"/>
          <w:color w:val="auto"/>
          <w:lang w:val="en-US" w:eastAsia="zh-CN"/>
        </w:rPr>
        <w:t>5</w:t>
      </w:r>
      <w:r>
        <w:rPr>
          <w:rFonts w:hint="eastAsia" w:cs="Times New Roman"/>
          <w:color w:val="auto"/>
          <w:lang w:eastAsia="zh-CN"/>
        </w:rPr>
        <w:t>.</w:t>
      </w:r>
      <w:r>
        <w:rPr>
          <w:rFonts w:hint="default" w:ascii="Times New Roman" w:hAnsi="Times New Roman" w:eastAsia="宋体" w:cs="Times New Roman"/>
          <w:color w:val="auto"/>
        </w:rPr>
        <w:t>1.</w:t>
      </w:r>
      <w:r>
        <w:rPr>
          <w:rFonts w:hint="eastAsia" w:cs="Times New Roman"/>
          <w:color w:val="auto"/>
          <w:lang w:val="en-US" w:eastAsia="zh-CN"/>
        </w:rPr>
        <w:t>1</w:t>
      </w:r>
      <w:r>
        <w:rPr>
          <w:rFonts w:hint="default" w:ascii="Times New Roman" w:hAnsi="Times New Roman" w:eastAsia="宋体" w:cs="Times New Roman"/>
          <w:color w:val="auto"/>
        </w:rPr>
        <w:t>项目实施管理</w:t>
      </w:r>
      <w:bookmarkEnd w:id="63"/>
    </w:p>
    <w:p>
      <w:pPr>
        <w:bidi w:val="0"/>
        <w:rPr>
          <w:color w:val="auto"/>
        </w:rPr>
      </w:pPr>
      <w:bookmarkStart w:id="64" w:name="_Toc9964"/>
      <w:bookmarkStart w:id="65" w:name="_Toc6947"/>
      <w:r>
        <w:rPr>
          <w:rFonts w:hint="eastAsia"/>
          <w:color w:val="auto"/>
        </w:rPr>
        <w:t>该工程严格按照“项目法人制、工程监理制、合同管理制、公告制”的四制管理要求执行，明确各方权责义务。</w:t>
      </w:r>
    </w:p>
    <w:p>
      <w:pPr>
        <w:bidi w:val="0"/>
        <w:rPr>
          <w:color w:val="auto"/>
        </w:rPr>
      </w:pPr>
      <w:r>
        <w:rPr>
          <w:rFonts w:hint="eastAsia"/>
          <w:color w:val="auto"/>
          <w:lang w:eastAsia="zh-CN"/>
        </w:rPr>
        <w:t>华容县牛氏湖流域水环境综合治理</w:t>
      </w:r>
      <w:r>
        <w:rPr>
          <w:rFonts w:hint="eastAsia"/>
          <w:color w:val="auto"/>
        </w:rPr>
        <w:t>由</w:t>
      </w:r>
      <w:r>
        <w:rPr>
          <w:rFonts w:hint="eastAsia"/>
          <w:color w:val="auto"/>
          <w:lang w:eastAsia="zh-CN"/>
        </w:rPr>
        <w:t>华容县新河乡水利服务站</w:t>
      </w:r>
      <w:r>
        <w:rPr>
          <w:rFonts w:hint="eastAsia"/>
          <w:color w:val="auto"/>
        </w:rPr>
        <w:t>组建项目法人，项目法人对项目前期工作、资金筹措、施工组织及安全、质量、进度、财务、后续管理等负全面责任。</w:t>
      </w:r>
    </w:p>
    <w:p>
      <w:pPr>
        <w:bidi w:val="0"/>
        <w:rPr>
          <w:color w:val="auto"/>
        </w:rPr>
      </w:pPr>
      <w:r>
        <w:rPr>
          <w:rFonts w:hint="eastAsia"/>
          <w:color w:val="auto"/>
        </w:rPr>
        <w:t>工程实施的好坏直接关系到工程效益的发挥，加强工程建设管理是提高工程效益的关键，建设管理既要有利于资金的有序使用，也要便于控制施工质量和进度。</w:t>
      </w:r>
    </w:p>
    <w:p>
      <w:pPr>
        <w:pStyle w:val="3"/>
        <w:bidi w:val="0"/>
        <w:outlineLvl w:val="1"/>
        <w:rPr>
          <w:rFonts w:hint="default"/>
          <w:color w:val="auto"/>
        </w:rPr>
      </w:pPr>
      <w:bookmarkStart w:id="66" w:name="_Toc10962"/>
      <w:r>
        <w:rPr>
          <w:rFonts w:hint="eastAsia"/>
          <w:color w:val="auto"/>
          <w:lang w:val="en-US" w:eastAsia="zh-CN"/>
        </w:rPr>
        <w:t>5</w:t>
      </w:r>
      <w:r>
        <w:rPr>
          <w:rFonts w:hint="eastAsia"/>
          <w:color w:val="auto"/>
          <w:lang w:eastAsia="zh-CN"/>
        </w:rPr>
        <w:t>.</w:t>
      </w:r>
      <w:r>
        <w:rPr>
          <w:rFonts w:hint="default"/>
          <w:color w:val="auto"/>
        </w:rPr>
        <w:t>2</w:t>
      </w:r>
      <w:r>
        <w:rPr>
          <w:rFonts w:hint="default"/>
          <w:color w:val="auto"/>
          <w:lang w:eastAsia="zh-CN"/>
        </w:rPr>
        <w:t>工程</w:t>
      </w:r>
      <w:r>
        <w:rPr>
          <w:rFonts w:hint="default"/>
          <w:color w:val="auto"/>
        </w:rPr>
        <w:t>运行管理</w:t>
      </w:r>
      <w:bookmarkEnd w:id="64"/>
      <w:bookmarkEnd w:id="65"/>
      <w:bookmarkEnd w:id="66"/>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为充分发挥</w:t>
      </w:r>
      <w:r>
        <w:rPr>
          <w:rFonts w:hint="eastAsia" w:cs="Times New Roman"/>
          <w:color w:val="auto"/>
          <w:lang w:eastAsia="zh-CN"/>
        </w:rPr>
        <w:t>牛氏湖流域水环境综合治理工程</w:t>
      </w:r>
      <w:r>
        <w:rPr>
          <w:rFonts w:hint="default" w:ascii="Times New Roman" w:hAnsi="Times New Roman" w:eastAsia="宋体" w:cs="Times New Roman"/>
          <w:color w:val="auto"/>
        </w:rPr>
        <w:t>的效益，搞好工程管理和养护，保证项目的良性运行和可续利用，必须结合项目区实际，制定切实可行的项目建后管护制度。</w:t>
      </w:r>
    </w:p>
    <w:p>
      <w:pPr>
        <w:pStyle w:val="4"/>
        <w:bidi w:val="0"/>
        <w:ind w:left="0" w:leftChars="0" w:firstLine="0" w:firstLineChars="0"/>
        <w:outlineLvl w:val="2"/>
        <w:rPr>
          <w:rFonts w:hint="default" w:ascii="Times New Roman" w:hAnsi="Times New Roman" w:eastAsia="宋体" w:cs="Times New Roman"/>
          <w:color w:val="auto"/>
        </w:rPr>
      </w:pPr>
      <w:bookmarkStart w:id="67" w:name="_Toc25473"/>
      <w:r>
        <w:rPr>
          <w:rFonts w:hint="eastAsia" w:cs="Times New Roman"/>
          <w:color w:val="auto"/>
          <w:lang w:val="en-US" w:eastAsia="zh-CN"/>
        </w:rPr>
        <w:t>5</w:t>
      </w:r>
      <w:r>
        <w:rPr>
          <w:rFonts w:hint="eastAsia" w:cs="Times New Roman"/>
          <w:color w:val="auto"/>
          <w:lang w:eastAsia="zh-CN"/>
        </w:rPr>
        <w:t>.</w:t>
      </w:r>
      <w:r>
        <w:rPr>
          <w:rFonts w:hint="default" w:ascii="Times New Roman" w:hAnsi="Times New Roman" w:eastAsia="宋体" w:cs="Times New Roman"/>
          <w:color w:val="auto"/>
        </w:rPr>
        <w:t>2.1管理机构和职责</w:t>
      </w:r>
      <w:bookmarkEnd w:id="67"/>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rPr>
        <w:t>项目区竣工移交后，建后管护机构负责项目区工程的统一管理。项目区乡镇成立管护领导机构，项目村、组建立村、组长为主和管护人员参加的管护队伍，采用集体管护和专</w:t>
      </w:r>
      <w:r>
        <w:rPr>
          <w:rFonts w:hint="default" w:ascii="Times New Roman" w:hAnsi="Times New Roman" w:eastAsia="宋体" w:cs="Times New Roman"/>
          <w:color w:val="auto"/>
          <w:highlight w:val="none"/>
        </w:rPr>
        <w:t>人承包相结合的管理机制，对工程设施造册登记出榜公布，落实管护经费，接受社会监督、群管群护。</w:t>
      </w:r>
      <w:r>
        <w:rPr>
          <w:rFonts w:hint="eastAsia" w:cs="Times New Roman"/>
          <w:color w:val="auto"/>
          <w:highlight w:val="none"/>
          <w:lang w:eastAsia="zh-CN"/>
        </w:rPr>
        <w:t>华容县新河乡水利服务站</w:t>
      </w:r>
      <w:r>
        <w:rPr>
          <w:rFonts w:hint="default" w:ascii="Times New Roman" w:hAnsi="Times New Roman" w:eastAsia="宋体" w:cs="Times New Roman"/>
          <w:color w:val="auto"/>
          <w:highlight w:val="none"/>
        </w:rPr>
        <w:t>每年对项目设施进行管护督查。</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建后管护机构其主要职责是：</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1）组织宣传贯彻实施有关水利工程管理的法律、法规和政策；</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2）实施水利工程行业管理，确保水利工程安全和效益的发挥；</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3）查处违反水利工程管理规定的行为。</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4）项目区水利工程分村设定专人负责管理，其主要职责是：</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（1）、宣传执行有关法律、法规、规章和政策，发动群众管好用好水利工程。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（2）、按照水利工程管理规范要求，做好工程检查，掌握工程动态。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（3）、负责维修养护水利工程及附属设施、设备，保持工程设备完好，确保工程设施正常运行。</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（4）、根据雨情、水情、工程安全状态及上游有关情况，及时做好报汛、调度运用和防汛抗洪工作，确保工程安全。</w:t>
      </w:r>
    </w:p>
    <w:p>
      <w:pPr>
        <w:pStyle w:val="4"/>
        <w:bidi w:val="0"/>
        <w:ind w:left="0" w:leftChars="0" w:firstLine="0" w:firstLineChars="0"/>
        <w:outlineLvl w:val="2"/>
        <w:rPr>
          <w:rFonts w:hint="default" w:ascii="Times New Roman" w:hAnsi="Times New Roman" w:eastAsia="宋体" w:cs="Times New Roman"/>
          <w:color w:val="auto"/>
          <w:lang w:val="en-US" w:eastAsia="zh-CN"/>
        </w:rPr>
      </w:pPr>
      <w:bookmarkStart w:id="68" w:name="_Toc327212962"/>
      <w:bookmarkStart w:id="69" w:name="_Toc310256778"/>
      <w:bookmarkStart w:id="70" w:name="_Toc8853"/>
      <w:r>
        <w:rPr>
          <w:rFonts w:hint="eastAsia" w:cs="Times New Roman"/>
          <w:color w:val="auto"/>
          <w:lang w:val="en-US" w:eastAsia="zh-CN"/>
        </w:rPr>
        <w:t>5.2</w:t>
      </w:r>
      <w:r>
        <w:rPr>
          <w:rFonts w:hint="default" w:ascii="Times New Roman" w:hAnsi="Times New Roman" w:eastAsia="宋体" w:cs="Times New Roman"/>
          <w:color w:val="auto"/>
          <w:lang w:val="en-US" w:eastAsia="zh-CN"/>
        </w:rPr>
        <w:t>.</w:t>
      </w:r>
      <w:r>
        <w:rPr>
          <w:rFonts w:hint="eastAsia" w:cs="Times New Roman"/>
          <w:color w:val="auto"/>
          <w:lang w:val="en-US" w:eastAsia="zh-CN"/>
        </w:rPr>
        <w:t>2</w:t>
      </w:r>
      <w:r>
        <w:rPr>
          <w:rFonts w:hint="default" w:ascii="Times New Roman" w:hAnsi="Times New Roman" w:eastAsia="宋体" w:cs="Times New Roman"/>
          <w:color w:val="auto"/>
          <w:lang w:val="en-US" w:eastAsia="zh-CN"/>
        </w:rPr>
        <w:t>劳动安全</w:t>
      </w:r>
      <w:bookmarkEnd w:id="68"/>
      <w:bookmarkEnd w:id="69"/>
      <w:r>
        <w:rPr>
          <w:rFonts w:hint="eastAsia" w:cs="Times New Roman"/>
          <w:color w:val="auto"/>
          <w:lang w:val="en-US" w:eastAsia="zh-CN"/>
        </w:rPr>
        <w:t>措施</w:t>
      </w:r>
    </w:p>
    <w:p>
      <w:pPr>
        <w:rPr>
          <w:rFonts w:hint="default" w:ascii="Times New Roman" w:hAnsi="Times New Roman" w:eastAsia="宋体" w:cs="Times New Roman"/>
          <w:color w:val="auto"/>
        </w:rPr>
      </w:pPr>
      <w:r>
        <w:rPr>
          <w:rFonts w:hint="default" w:ascii="Times New Roman" w:hAnsi="Times New Roman" w:eastAsia="宋体" w:cs="Times New Roman"/>
          <w:color w:val="auto"/>
        </w:rPr>
        <w:t>1)防洪、防淹：本工程是在枯水期施工，基本不存在防洪、防淹问题；</w:t>
      </w:r>
    </w:p>
    <w:p>
      <w:pPr>
        <w:rPr>
          <w:rFonts w:hint="default" w:ascii="Times New Roman" w:hAnsi="Times New Roman" w:eastAsia="宋体" w:cs="Times New Roman"/>
          <w:color w:val="auto"/>
        </w:rPr>
      </w:pPr>
      <w:r>
        <w:rPr>
          <w:rFonts w:hint="default" w:ascii="Times New Roman" w:hAnsi="Times New Roman" w:eastAsia="宋体" w:cs="Times New Roman"/>
          <w:color w:val="auto"/>
        </w:rPr>
        <w:t>2)安全疏散：结合建筑物工程的选定方案，对施工集中区和管理区等建筑物设置安全疏散通道；</w:t>
      </w:r>
    </w:p>
    <w:p>
      <w:pPr>
        <w:rPr>
          <w:rFonts w:hint="default" w:ascii="Times New Roman" w:hAnsi="Times New Roman" w:eastAsia="宋体" w:cs="Times New Roman"/>
          <w:color w:val="auto"/>
        </w:rPr>
      </w:pPr>
      <w:r>
        <w:rPr>
          <w:rFonts w:hint="default" w:ascii="Times New Roman" w:hAnsi="Times New Roman" w:eastAsia="宋体" w:cs="Times New Roman"/>
          <w:color w:val="auto"/>
        </w:rPr>
        <w:t>3)防火、防爆：本工程主要建筑物为土方、砼、毛石砼主结构，但施工期间临时仓库保存较多的木材、燃油、土工织物和其它易燃、易爆材料。因此，首先根据生产场所的性质，确定其火灾危险性类别和耐火等级，然后再定建筑物各构件的燃烧性能和耐火等级均不低于规程的规定值。</w:t>
      </w:r>
    </w:p>
    <w:p>
      <w:pPr>
        <w:pStyle w:val="4"/>
        <w:bidi w:val="0"/>
        <w:ind w:left="0" w:leftChars="0" w:firstLine="0" w:firstLineChars="0"/>
        <w:outlineLvl w:val="2"/>
        <w:rPr>
          <w:rFonts w:hint="default" w:ascii="Times New Roman" w:hAnsi="Times New Roman" w:eastAsia="宋体" w:cs="Times New Roman"/>
          <w:color w:val="auto"/>
        </w:rPr>
      </w:pPr>
      <w:r>
        <w:rPr>
          <w:rFonts w:hint="eastAsia" w:cs="Times New Roman"/>
          <w:color w:val="auto"/>
          <w:lang w:val="en-US" w:eastAsia="zh-CN"/>
        </w:rPr>
        <w:t>5</w:t>
      </w:r>
      <w:r>
        <w:rPr>
          <w:rFonts w:hint="eastAsia" w:cs="Times New Roman"/>
          <w:color w:val="auto"/>
          <w:lang w:eastAsia="zh-CN"/>
        </w:rPr>
        <w:t>.</w:t>
      </w:r>
      <w:r>
        <w:rPr>
          <w:rFonts w:hint="default" w:ascii="Times New Roman" w:hAnsi="Times New Roman" w:eastAsia="宋体" w:cs="Times New Roman"/>
          <w:color w:val="auto"/>
        </w:rPr>
        <w:t>2.</w:t>
      </w:r>
      <w:r>
        <w:rPr>
          <w:rFonts w:hint="eastAsia" w:cs="Times New Roman"/>
          <w:color w:val="auto"/>
          <w:lang w:val="en-US" w:eastAsia="zh-CN"/>
        </w:rPr>
        <w:t>3</w:t>
      </w:r>
      <w:r>
        <w:rPr>
          <w:rFonts w:hint="default" w:ascii="Times New Roman" w:hAnsi="Times New Roman" w:eastAsia="宋体" w:cs="Times New Roman"/>
          <w:color w:val="auto"/>
        </w:rPr>
        <w:t>工程管护</w:t>
      </w:r>
      <w:bookmarkEnd w:id="70"/>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rPr>
      </w:pPr>
      <w:r>
        <w:rPr>
          <w:rFonts w:hint="default" w:cs="Times New Roman"/>
          <w:color w:val="auto"/>
          <w:lang w:eastAsia="zh-CN"/>
        </w:rPr>
        <w:t>加强</w:t>
      </w:r>
      <w:r>
        <w:rPr>
          <w:rFonts w:hint="eastAsia" w:cs="Times New Roman"/>
          <w:color w:val="auto"/>
          <w:lang w:eastAsia="zh-CN"/>
        </w:rPr>
        <w:t>水环境综合治理</w:t>
      </w:r>
      <w:r>
        <w:rPr>
          <w:rFonts w:hint="default" w:cs="Times New Roman"/>
          <w:color w:val="auto"/>
          <w:lang w:eastAsia="zh-CN"/>
        </w:rPr>
        <w:t>建设，</w:t>
      </w:r>
      <w:r>
        <w:rPr>
          <w:rFonts w:hint="eastAsia" w:cs="Times New Roman"/>
          <w:color w:val="auto"/>
          <w:lang w:eastAsia="zh-CN"/>
        </w:rPr>
        <w:t>有助于提高水资源的利用效率</w:t>
      </w:r>
      <w:r>
        <w:rPr>
          <w:rFonts w:hint="default" w:cs="Times New Roman"/>
          <w:color w:val="auto"/>
          <w:lang w:eastAsia="zh-CN"/>
        </w:rPr>
        <w:t>，</w:t>
      </w:r>
      <w:r>
        <w:rPr>
          <w:rFonts w:hint="eastAsia" w:cs="Times New Roman"/>
          <w:color w:val="auto"/>
          <w:lang w:eastAsia="zh-CN"/>
        </w:rPr>
        <w:t>减少水资源的浪费和损失，提高水资源的可持续利用。</w:t>
      </w:r>
      <w:r>
        <w:rPr>
          <w:rFonts w:hint="default" w:cs="Times New Roman"/>
          <w:color w:val="auto"/>
          <w:lang w:eastAsia="zh-CN"/>
        </w:rPr>
        <w:t>维护好这些基础工程设施，确保项目工程持续、良好地运行，是项目建设效益的需要，项目实施单位充分认识到加强项目工程管护</w:t>
      </w:r>
      <w:r>
        <w:rPr>
          <w:rFonts w:hint="default" w:ascii="Times New Roman" w:hAnsi="Times New Roman" w:eastAsia="宋体" w:cs="Times New Roman"/>
          <w:color w:val="auto"/>
        </w:rPr>
        <w:t>工作的重要性，积极推动项目工程管护运行机制的创新，建立行之有效的项目工程管护组织，制订切实可行的管护制度，努力搞好项目工程管护工作，保证项目效益长期发挥。</w:t>
      </w:r>
    </w:p>
    <w:p>
      <w:pPr>
        <w:pStyle w:val="2"/>
        <w:bidi w:val="0"/>
        <w:outlineLvl w:val="0"/>
        <w:rPr>
          <w:rFonts w:hint="default" w:ascii="Times New Roman" w:hAnsi="Times New Roman" w:eastAsia="宋体" w:cs="Times New Roman"/>
          <w:color w:val="auto"/>
          <w:lang w:val="en-US" w:eastAsia="zh-CN"/>
        </w:rPr>
      </w:pPr>
      <w:bookmarkStart w:id="71" w:name="_Toc23906"/>
      <w:bookmarkStart w:id="72" w:name="_Toc15093"/>
      <w:bookmarkStart w:id="73" w:name="_Toc14526"/>
      <w:r>
        <w:rPr>
          <w:rFonts w:hint="eastAsia" w:eastAsia="宋体" w:cs="Times New Roman"/>
          <w:color w:val="auto"/>
          <w:lang w:val="en-US" w:eastAsia="zh-CN"/>
        </w:rPr>
        <w:t>6</w:t>
      </w:r>
      <w:r>
        <w:rPr>
          <w:rFonts w:hint="default" w:ascii="Times New Roman" w:hAnsi="Times New Roman" w:eastAsia="宋体" w:cs="Times New Roman"/>
          <w:color w:val="auto"/>
          <w:lang w:val="en-US" w:eastAsia="zh-CN"/>
        </w:rPr>
        <w:t>施工组织设计</w:t>
      </w:r>
      <w:bookmarkEnd w:id="71"/>
    </w:p>
    <w:p>
      <w:pPr>
        <w:pStyle w:val="3"/>
        <w:bidi w:val="0"/>
        <w:outlineLvl w:val="1"/>
        <w:rPr>
          <w:rFonts w:hint="default"/>
          <w:color w:val="auto"/>
          <w:highlight w:val="none"/>
          <w:lang w:eastAsia="zh-CN"/>
        </w:rPr>
      </w:pPr>
      <w:bookmarkStart w:id="74" w:name="_Toc28073"/>
      <w:bookmarkStart w:id="75" w:name="_Toc17444"/>
      <w:bookmarkStart w:id="76" w:name="_Toc10371"/>
      <w:r>
        <w:rPr>
          <w:rFonts w:hint="eastAsia"/>
          <w:color w:val="auto"/>
          <w:lang w:val="en-US" w:eastAsia="zh-CN"/>
        </w:rPr>
        <w:t>6</w:t>
      </w:r>
      <w:r>
        <w:rPr>
          <w:rFonts w:hint="default"/>
          <w:color w:val="auto"/>
        </w:rPr>
        <w:t>.1</w:t>
      </w:r>
      <w:r>
        <w:rPr>
          <w:rFonts w:hint="default"/>
          <w:color w:val="auto"/>
          <w:lang w:eastAsia="zh-CN"/>
        </w:rPr>
        <w:t>施工条件</w:t>
      </w:r>
      <w:bookmarkEnd w:id="74"/>
      <w:bookmarkEnd w:id="75"/>
      <w:bookmarkEnd w:id="76"/>
    </w:p>
    <w:p>
      <w:pPr>
        <w:pStyle w:val="4"/>
        <w:bidi w:val="0"/>
        <w:outlineLvl w:val="2"/>
        <w:rPr>
          <w:color w:val="auto"/>
          <w:highlight w:val="none"/>
          <w:lang w:val="en-GB"/>
        </w:rPr>
      </w:pPr>
      <w:bookmarkStart w:id="77" w:name="_Toc8395"/>
      <w:bookmarkStart w:id="78" w:name="_Toc3736"/>
      <w:r>
        <w:rPr>
          <w:rFonts w:hint="eastAsia"/>
          <w:color w:val="auto"/>
          <w:highlight w:val="none"/>
          <w:lang w:val="en-US" w:eastAsia="zh-CN"/>
        </w:rPr>
        <w:t>6</w:t>
      </w:r>
      <w:r>
        <w:rPr>
          <w:color w:val="auto"/>
          <w:highlight w:val="none"/>
          <w:lang w:val="en-GB"/>
        </w:rPr>
        <w:t>.1.1自然条件</w:t>
      </w:r>
    </w:p>
    <w:p>
      <w:pPr>
        <w:pStyle w:val="6"/>
        <w:keepNext w:val="0"/>
        <w:keepLines w:val="0"/>
        <w:pageBreakBefore w:val="0"/>
        <w:widowControl w:val="0"/>
        <w:numPr>
          <w:ilvl w:val="0"/>
          <w:numId w:val="0"/>
        </w:numPr>
        <w:kinsoku/>
        <w:wordWrap/>
        <w:overflowPunct/>
        <w:topLinePunct w:val="0"/>
        <w:autoSpaceDE/>
        <w:autoSpaceDN/>
        <w:bidi w:val="0"/>
        <w:adjustRightInd w:val="0"/>
        <w:snapToGrid w:val="0"/>
        <w:ind w:firstLine="480" w:firstLineChars="200"/>
        <w:textAlignment w:val="auto"/>
        <w:rPr>
          <w:rFonts w:hint="eastAsia"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华容地属北亚热带，为湿润性大陆季风气候。具有“气候温和，四季分明，热量充足，雨水集中；春暖多变，夏秋多旱，严寒期短，暑热期长”的特点。华容县地处洞庭湖凹盆地北缘，地势北高南低，中部丘岗隆起，东西低平开阔，微向东洞庭湖倾斜。年平均气温18.0℃；无霜期283天；年总降水量1065.7mm，较历年偏少224.1mm，日最大降水量65.0mm。</w:t>
      </w:r>
    </w:p>
    <w:p>
      <w:pPr>
        <w:pStyle w:val="4"/>
        <w:bidi w:val="0"/>
        <w:outlineLvl w:val="2"/>
        <w:rPr>
          <w:color w:val="auto"/>
          <w:highlight w:val="none"/>
          <w:lang w:val="en-GB"/>
        </w:rPr>
      </w:pPr>
      <w:r>
        <w:rPr>
          <w:rFonts w:hint="eastAsia"/>
          <w:color w:val="auto"/>
          <w:highlight w:val="none"/>
          <w:lang w:val="en-US" w:eastAsia="zh-CN"/>
        </w:rPr>
        <w:t>6</w:t>
      </w:r>
      <w:r>
        <w:rPr>
          <w:color w:val="auto"/>
          <w:highlight w:val="none"/>
          <w:lang w:val="en-GB"/>
        </w:rPr>
        <w:t>.1.</w:t>
      </w:r>
      <w:r>
        <w:rPr>
          <w:rFonts w:hint="eastAsia"/>
          <w:color w:val="auto"/>
          <w:highlight w:val="none"/>
          <w:lang w:val="en-US" w:eastAsia="zh-CN"/>
        </w:rPr>
        <w:t>2</w:t>
      </w:r>
      <w:r>
        <w:rPr>
          <w:color w:val="auto"/>
          <w:highlight w:val="none"/>
          <w:lang w:val="en-GB"/>
        </w:rPr>
        <w:t>建筑材料供应</w:t>
      </w:r>
    </w:p>
    <w:p>
      <w:pPr>
        <w:bidi w:val="0"/>
        <w:rPr>
          <w:color w:val="auto"/>
          <w:highlight w:val="none"/>
        </w:rPr>
      </w:pPr>
      <w:r>
        <w:rPr>
          <w:color w:val="auto"/>
          <w:highlight w:val="none"/>
          <w:lang w:val="en-GB"/>
        </w:rPr>
        <w:t>本工程所需的主要材料，</w:t>
      </w:r>
      <w:r>
        <w:rPr>
          <w:rFonts w:hint="eastAsia"/>
          <w:color w:val="auto"/>
          <w:highlight w:val="none"/>
        </w:rPr>
        <w:t>水泥、钢筋</w:t>
      </w:r>
      <w:r>
        <w:rPr>
          <w:rFonts w:hint="eastAsia"/>
          <w:color w:val="auto"/>
          <w:highlight w:val="none"/>
          <w:lang w:eastAsia="zh-CN"/>
        </w:rPr>
        <w:t>、</w:t>
      </w:r>
      <w:r>
        <w:rPr>
          <w:rFonts w:hint="eastAsia"/>
          <w:color w:val="auto"/>
          <w:highlight w:val="none"/>
        </w:rPr>
        <w:t>块石</w:t>
      </w:r>
      <w:r>
        <w:rPr>
          <w:rFonts w:hint="eastAsia"/>
          <w:color w:val="auto"/>
          <w:highlight w:val="none"/>
          <w:lang w:eastAsia="zh-CN"/>
        </w:rPr>
        <w:t>、</w:t>
      </w:r>
      <w:r>
        <w:rPr>
          <w:rFonts w:hint="eastAsia"/>
          <w:color w:val="auto"/>
          <w:highlight w:val="none"/>
        </w:rPr>
        <w:t>碎石</w:t>
      </w:r>
      <w:r>
        <w:rPr>
          <w:rFonts w:hint="eastAsia"/>
          <w:color w:val="auto"/>
          <w:highlight w:val="none"/>
          <w:lang w:eastAsia="zh-CN"/>
        </w:rPr>
        <w:t>、</w:t>
      </w:r>
      <w:r>
        <w:rPr>
          <w:rFonts w:hint="eastAsia"/>
          <w:color w:val="auto"/>
          <w:highlight w:val="none"/>
        </w:rPr>
        <w:t>河砂从</w:t>
      </w:r>
      <w:r>
        <w:rPr>
          <w:rFonts w:hint="eastAsia"/>
          <w:color w:val="auto"/>
          <w:highlight w:val="none"/>
          <w:lang w:val="en-US" w:eastAsia="zh-CN"/>
        </w:rPr>
        <w:t>项目区附近乡镇</w:t>
      </w:r>
      <w:r>
        <w:rPr>
          <w:rFonts w:hint="eastAsia"/>
          <w:color w:val="auto"/>
          <w:highlight w:val="none"/>
        </w:rPr>
        <w:t>采购运距</w:t>
      </w:r>
      <w:r>
        <w:rPr>
          <w:rFonts w:hint="eastAsia"/>
          <w:color w:val="auto"/>
          <w:highlight w:val="none"/>
          <w:lang w:val="en-US" w:eastAsia="zh-CN"/>
        </w:rPr>
        <w:t>10</w:t>
      </w:r>
      <w:r>
        <w:rPr>
          <w:rFonts w:hint="eastAsia"/>
          <w:color w:val="auto"/>
          <w:highlight w:val="none"/>
        </w:rPr>
        <w:t>km</w:t>
      </w:r>
      <w:r>
        <w:rPr>
          <w:rFonts w:hint="eastAsia"/>
          <w:color w:val="auto"/>
          <w:highlight w:val="none"/>
          <w:lang w:val="en-US" w:eastAsia="zh-CN"/>
        </w:rPr>
        <w:t>以内</w:t>
      </w:r>
      <w:r>
        <w:rPr>
          <w:rFonts w:hint="eastAsia"/>
          <w:color w:val="auto"/>
          <w:highlight w:val="none"/>
        </w:rPr>
        <w:t>。柴油、汽油从</w:t>
      </w:r>
      <w:r>
        <w:rPr>
          <w:rFonts w:hint="eastAsia"/>
          <w:color w:val="auto"/>
          <w:highlight w:val="none"/>
          <w:lang w:eastAsia="zh-CN"/>
        </w:rPr>
        <w:t>乡镇</w:t>
      </w:r>
      <w:r>
        <w:rPr>
          <w:rFonts w:hint="eastAsia"/>
          <w:color w:val="auto"/>
          <w:highlight w:val="none"/>
        </w:rPr>
        <w:t>加油站采购。</w:t>
      </w:r>
    </w:p>
    <w:p>
      <w:pPr>
        <w:pStyle w:val="4"/>
        <w:bidi w:val="0"/>
        <w:outlineLvl w:val="2"/>
        <w:rPr>
          <w:color w:val="auto"/>
          <w:highlight w:val="none"/>
          <w:lang w:val="en-GB"/>
        </w:rPr>
      </w:pPr>
      <w:r>
        <w:rPr>
          <w:rFonts w:hint="eastAsia"/>
          <w:color w:val="auto"/>
          <w:highlight w:val="none"/>
          <w:lang w:val="en-US" w:eastAsia="zh-CN"/>
        </w:rPr>
        <w:t>6</w:t>
      </w:r>
      <w:r>
        <w:rPr>
          <w:color w:val="auto"/>
          <w:highlight w:val="none"/>
          <w:lang w:val="en-GB"/>
        </w:rPr>
        <w:t>.1.</w:t>
      </w:r>
      <w:r>
        <w:rPr>
          <w:rFonts w:hint="eastAsia"/>
          <w:color w:val="auto"/>
          <w:highlight w:val="none"/>
          <w:lang w:val="en-US" w:eastAsia="zh-CN"/>
        </w:rPr>
        <w:t>3</w:t>
      </w:r>
      <w:r>
        <w:rPr>
          <w:color w:val="auto"/>
          <w:highlight w:val="none"/>
          <w:lang w:val="en-GB"/>
        </w:rPr>
        <w:t>交通运输</w:t>
      </w:r>
    </w:p>
    <w:p>
      <w:pPr>
        <w:bidi w:val="0"/>
        <w:rPr>
          <w:rFonts w:hint="eastAsia" w:ascii="Times New Roman" w:hAnsi="Times New Roman" w:eastAsia="宋体" w:cs="Times New Roman"/>
          <w:b w:val="0"/>
          <w:bCs w:val="0"/>
          <w:color w:val="auto"/>
          <w:kern w:val="2"/>
          <w:sz w:val="24"/>
          <w:szCs w:val="24"/>
          <w:highlight w:val="none"/>
          <w:lang w:val="en-GB"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县道新景公路连通南北，省道S306线贯穿东西，新河乡交通、区位优势十分明显。</w:t>
      </w:r>
      <w:r>
        <w:rPr>
          <w:rFonts w:hint="eastAsia" w:ascii="Times New Roman" w:hAnsi="Times New Roman" w:eastAsia="宋体" w:cs="Times New Roman"/>
          <w:b w:val="0"/>
          <w:bCs w:val="0"/>
          <w:color w:val="auto"/>
          <w:kern w:val="2"/>
          <w:sz w:val="24"/>
          <w:szCs w:val="24"/>
          <w:highlight w:val="none"/>
          <w:lang w:val="en-GB" w:eastAsia="zh-CN" w:bidi="ar-SA"/>
        </w:rPr>
        <w:t>施工设备及各类建材可通过公路、乡村道路直达施工场地。</w:t>
      </w:r>
    </w:p>
    <w:p>
      <w:pPr>
        <w:pStyle w:val="4"/>
        <w:bidi w:val="0"/>
        <w:outlineLvl w:val="2"/>
        <w:rPr>
          <w:color w:val="auto"/>
          <w:highlight w:val="none"/>
        </w:rPr>
      </w:pPr>
      <w:bookmarkStart w:id="79" w:name="_Toc437978811"/>
      <w:bookmarkStart w:id="80" w:name="_Toc173792594"/>
      <w:bookmarkStart w:id="81" w:name="_Toc330374717"/>
      <w:bookmarkStart w:id="82" w:name="_Toc40733139"/>
      <w:bookmarkStart w:id="83" w:name="_Toc408220700"/>
      <w:r>
        <w:rPr>
          <w:rFonts w:hint="eastAsia"/>
          <w:color w:val="auto"/>
          <w:highlight w:val="none"/>
          <w:lang w:val="en-US" w:eastAsia="zh-CN"/>
        </w:rPr>
        <w:t>6</w:t>
      </w:r>
      <w:r>
        <w:rPr>
          <w:rFonts w:hint="eastAsia"/>
          <w:color w:val="auto"/>
          <w:highlight w:val="none"/>
        </w:rPr>
        <w:t>.1.</w:t>
      </w:r>
      <w:r>
        <w:rPr>
          <w:rFonts w:hint="eastAsia"/>
          <w:color w:val="auto"/>
          <w:highlight w:val="none"/>
          <w:lang w:val="en-US" w:eastAsia="zh-CN"/>
        </w:rPr>
        <w:t>4</w:t>
      </w:r>
      <w:r>
        <w:rPr>
          <w:rFonts w:hint="eastAsia"/>
          <w:color w:val="auto"/>
          <w:highlight w:val="none"/>
        </w:rPr>
        <w:t>施工场地</w:t>
      </w:r>
      <w:bookmarkEnd w:id="79"/>
      <w:bookmarkEnd w:id="80"/>
      <w:bookmarkEnd w:id="81"/>
      <w:bookmarkEnd w:id="82"/>
      <w:bookmarkEnd w:id="83"/>
    </w:p>
    <w:p>
      <w:pPr>
        <w:bidi w:val="0"/>
        <w:rPr>
          <w:color w:val="auto"/>
          <w:highlight w:val="none"/>
        </w:rPr>
      </w:pPr>
      <w:r>
        <w:rPr>
          <w:rFonts w:hint="eastAsia"/>
          <w:color w:val="auto"/>
          <w:highlight w:val="none"/>
        </w:rPr>
        <w:t>该项目施工期间为农闲季节，大部分田地农作物已收割，故可利用渠道、道路两侧范围及少量田块作为施工场地。</w:t>
      </w:r>
    </w:p>
    <w:p>
      <w:pPr>
        <w:pStyle w:val="4"/>
        <w:bidi w:val="0"/>
        <w:outlineLvl w:val="2"/>
        <w:rPr>
          <w:color w:val="auto"/>
          <w:highlight w:val="none"/>
          <w:lang w:val="en-GB"/>
        </w:rPr>
      </w:pPr>
      <w:bookmarkStart w:id="84" w:name="_Toc40733141"/>
      <w:r>
        <w:rPr>
          <w:rFonts w:hint="eastAsia"/>
          <w:color w:val="auto"/>
          <w:highlight w:val="none"/>
          <w:lang w:val="en-US" w:eastAsia="zh-CN"/>
        </w:rPr>
        <w:t>6</w:t>
      </w:r>
      <w:r>
        <w:rPr>
          <w:rFonts w:hint="eastAsia"/>
          <w:color w:val="auto"/>
          <w:highlight w:val="none"/>
          <w:lang w:val="en-GB"/>
        </w:rPr>
        <w:t>.1.</w:t>
      </w:r>
      <w:r>
        <w:rPr>
          <w:rFonts w:hint="eastAsia"/>
          <w:color w:val="auto"/>
          <w:highlight w:val="none"/>
          <w:lang w:val="en-US" w:eastAsia="zh-CN"/>
        </w:rPr>
        <w:t>5</w:t>
      </w:r>
      <w:r>
        <w:rPr>
          <w:rFonts w:hint="eastAsia"/>
          <w:color w:val="auto"/>
          <w:highlight w:val="none"/>
          <w:lang w:val="en-GB"/>
        </w:rPr>
        <w:t>施工用水、用电供应</w:t>
      </w:r>
      <w:bookmarkEnd w:id="84"/>
    </w:p>
    <w:p>
      <w:pPr>
        <w:bidi w:val="0"/>
        <w:rPr>
          <w:color w:val="auto"/>
          <w:highlight w:val="none"/>
        </w:rPr>
      </w:pPr>
      <w:r>
        <w:rPr>
          <w:rFonts w:hint="eastAsia"/>
          <w:color w:val="auto"/>
          <w:highlight w:val="none"/>
          <w:lang w:val="en-GB"/>
        </w:rPr>
        <w:t>施工用电可就近利用现有农网供电。施工用水可直接从项目区河流、山塘或沟渠中抽取；生活用水取用农户井水。</w:t>
      </w:r>
    </w:p>
    <w:p>
      <w:pPr>
        <w:pStyle w:val="3"/>
        <w:bidi w:val="0"/>
        <w:outlineLvl w:val="1"/>
        <w:rPr>
          <w:rFonts w:hint="default"/>
          <w:color w:val="auto"/>
          <w:highlight w:val="none"/>
          <w:lang w:eastAsia="zh-CN"/>
        </w:rPr>
      </w:pPr>
      <w:bookmarkStart w:id="85" w:name="_Toc23583"/>
      <w:r>
        <w:rPr>
          <w:rFonts w:hint="eastAsia"/>
          <w:color w:val="auto"/>
          <w:highlight w:val="none"/>
          <w:lang w:val="en-US" w:eastAsia="zh-CN"/>
        </w:rPr>
        <w:t>6</w:t>
      </w:r>
      <w:r>
        <w:rPr>
          <w:rFonts w:hint="default"/>
          <w:color w:val="auto"/>
          <w:highlight w:val="none"/>
        </w:rPr>
        <w:t>.</w:t>
      </w:r>
      <w:r>
        <w:rPr>
          <w:rFonts w:hint="default"/>
          <w:color w:val="auto"/>
          <w:highlight w:val="none"/>
          <w:lang w:val="en-US" w:eastAsia="zh-CN"/>
        </w:rPr>
        <w:t>2</w:t>
      </w:r>
      <w:r>
        <w:rPr>
          <w:rFonts w:hint="default"/>
          <w:color w:val="auto"/>
          <w:highlight w:val="none"/>
          <w:lang w:eastAsia="zh-CN"/>
        </w:rPr>
        <w:t>主体工程施工</w:t>
      </w:r>
      <w:bookmarkEnd w:id="77"/>
      <w:bookmarkEnd w:id="78"/>
      <w:bookmarkEnd w:id="85"/>
    </w:p>
    <w:p>
      <w:pPr>
        <w:bidi w:val="0"/>
        <w:rPr>
          <w:rFonts w:hint="eastAsia"/>
          <w:color w:val="auto"/>
          <w:highlight w:val="none"/>
        </w:rPr>
      </w:pPr>
      <w:bookmarkStart w:id="86" w:name="_Toc20654"/>
      <w:bookmarkStart w:id="87" w:name="_Toc29927"/>
      <w:r>
        <w:rPr>
          <w:rFonts w:hint="eastAsia"/>
          <w:color w:val="auto"/>
          <w:highlight w:val="none"/>
        </w:rPr>
        <w:t>基坑排水分为初期排水和经常性排水。因施工基坑较小，且在枯期施工，施工时段较短，围堰渗水和雨水组成的经常性排水量较小，基坑排水主要为初期排水。围堰形成后，每处基坑各配备1台2.2kw小型水泵进行初期排水，经常性排水利用初期排水设备。</w:t>
      </w:r>
    </w:p>
    <w:p>
      <w:pPr>
        <w:pStyle w:val="4"/>
        <w:bidi w:val="0"/>
        <w:outlineLvl w:val="2"/>
        <w:rPr>
          <w:color w:val="auto"/>
          <w:lang w:val="en-GB"/>
        </w:rPr>
      </w:pPr>
      <w:r>
        <w:rPr>
          <w:rFonts w:hint="eastAsia"/>
          <w:color w:val="auto"/>
          <w:lang w:val="en-US" w:eastAsia="zh-CN"/>
        </w:rPr>
        <w:t>6</w:t>
      </w:r>
      <w:r>
        <w:rPr>
          <w:rFonts w:hint="eastAsia"/>
          <w:color w:val="auto"/>
          <w:lang w:val="en-GB" w:eastAsia="zh-CN"/>
        </w:rPr>
        <w:t>.2.</w:t>
      </w:r>
      <w:r>
        <w:rPr>
          <w:rFonts w:hint="eastAsia"/>
          <w:color w:val="auto"/>
          <w:lang w:val="en-US" w:eastAsia="zh-CN"/>
        </w:rPr>
        <w:t>1</w:t>
      </w:r>
      <w:r>
        <w:rPr>
          <w:color w:val="auto"/>
          <w:lang w:val="en-GB"/>
        </w:rPr>
        <w:t>工程施工</w:t>
      </w:r>
    </w:p>
    <w:p>
      <w:pPr>
        <w:bidi w:val="0"/>
        <w:ind w:left="0" w:leftChars="0" w:firstLine="0" w:firstLineChars="0"/>
        <w:rPr>
          <w:rFonts w:hint="eastAsia"/>
          <w:b w:val="0"/>
          <w:bCs w:val="0"/>
          <w:color w:val="auto"/>
          <w:sz w:val="28"/>
          <w:szCs w:val="28"/>
          <w:highlight w:val="none"/>
          <w:lang w:val="en-US" w:eastAsia="zh-CN"/>
        </w:rPr>
      </w:pPr>
      <w:r>
        <w:rPr>
          <w:rFonts w:hint="eastAsia"/>
          <w:b w:val="0"/>
          <w:bCs w:val="0"/>
          <w:color w:val="auto"/>
          <w:sz w:val="28"/>
          <w:szCs w:val="28"/>
          <w:highlight w:val="none"/>
          <w:lang w:val="en-US" w:eastAsia="zh-CN"/>
        </w:rPr>
        <w:t>1）疏浚工程施工</w:t>
      </w:r>
    </w:p>
    <w:p>
      <w:pPr>
        <w:pStyle w:val="6"/>
        <w:rPr>
          <w:rFonts w:ascii="宋体" w:hAnsi="宋体" w:eastAsia="宋体" w:cs="宋体"/>
          <w:sz w:val="24"/>
          <w:szCs w:val="24"/>
          <w:highlight w:val="none"/>
        </w:rPr>
      </w:pPr>
      <w:r>
        <w:rPr>
          <w:rFonts w:ascii="宋体" w:hAnsi="宋体" w:eastAsia="宋体" w:cs="宋体"/>
          <w:sz w:val="24"/>
          <w:szCs w:val="24"/>
          <w:highlight w:val="none"/>
        </w:rPr>
        <w:t>绞吸船的基本施工方法是横挖法。本工程采用钢桩定位横挖法，即利用2根钢桩轮流交替插入河底，作为摆动中心，并利用绞刀桥前部的左、右摆动缆的交替收放，使船体来回摆动进行挖泥。当绞刀摆至挖槽右（左）边缘时，放下左（右）钢桩升起右（左）钢桩，同时放松右（左）边缆收紧左（右）边缆，使绞刀往左（右）摆回，这时船体向前移动一定距离。采用这种定位方法，由于绞刀挖泥时船体有2个摆动中心，使绞刀的挖泥轨迹重叠和遗漏。故应采用主副桩法，即以一根钢桩为主桩，始终对准挖槽中心线，作为横挖的摆动中心，而以另一根钢桩作为副桩为前移换桩之用。因为只有1个挖泥摆动中心，所以绞刀挖泥轨迹互相平行，只要钢桩的前移距保持适当，就可避免超挖和漏挖。为了准确地控制换桩位置，须在挖槽中心线左右两侧各增设1对视线标。</w:t>
      </w:r>
    </w:p>
    <w:p>
      <w:pPr>
        <w:pStyle w:val="4"/>
        <w:bidi w:val="0"/>
        <w:outlineLvl w:val="2"/>
        <w:rPr>
          <w:color w:val="auto"/>
          <w:lang w:val="en-GB"/>
        </w:rPr>
      </w:pPr>
      <w:bookmarkStart w:id="88" w:name="_Toc26015"/>
      <w:r>
        <w:rPr>
          <w:rFonts w:hint="eastAsia"/>
          <w:color w:val="auto"/>
          <w:lang w:val="en-US" w:eastAsia="zh-CN"/>
        </w:rPr>
        <w:t>6</w:t>
      </w:r>
      <w:r>
        <w:rPr>
          <w:rFonts w:hint="eastAsia"/>
          <w:color w:val="auto"/>
          <w:lang w:val="en-GB"/>
        </w:rPr>
        <w:t>.2.</w:t>
      </w:r>
      <w:r>
        <w:rPr>
          <w:rFonts w:hint="eastAsia"/>
          <w:color w:val="auto"/>
          <w:lang w:val="en-US" w:eastAsia="zh-CN"/>
        </w:rPr>
        <w:t>2</w:t>
      </w:r>
      <w:r>
        <w:rPr>
          <w:rFonts w:hint="eastAsia"/>
          <w:color w:val="auto"/>
          <w:lang w:val="en-GB"/>
        </w:rPr>
        <w:t>施工临时措施</w:t>
      </w:r>
      <w:bookmarkEnd w:id="88"/>
    </w:p>
    <w:p>
      <w:pPr>
        <w:bidi w:val="0"/>
        <w:rPr>
          <w:color w:val="auto"/>
          <w:lang w:val="en-GB"/>
        </w:rPr>
      </w:pPr>
      <w:r>
        <w:rPr>
          <w:rFonts w:hint="eastAsia"/>
          <w:color w:val="auto"/>
          <w:lang w:val="en-GB"/>
        </w:rPr>
        <w:t>施工临时措施主要包括生活设施和生产设施，临时设施布置总原则为“有效利用现有资源，方便管理”。生活设施拟布置于项目区周边，租用现有农村民房，生产设施拟布置于项目区内，主要有临时道路、临时排水、堆料场、材料加工点等，临时道路按照道路工程施工章节的方法进行施工，临时排水根据地形状况采用新开排水土沟或用抽水机抽水。</w:t>
      </w:r>
    </w:p>
    <w:p>
      <w:pPr>
        <w:pStyle w:val="4"/>
        <w:bidi w:val="0"/>
        <w:outlineLvl w:val="2"/>
        <w:rPr>
          <w:rFonts w:hint="eastAsia"/>
          <w:color w:val="auto"/>
          <w:lang w:val="en-GB" w:eastAsia="zh-CN"/>
        </w:rPr>
      </w:pPr>
      <w:r>
        <w:rPr>
          <w:rFonts w:hint="eastAsia"/>
          <w:color w:val="auto"/>
          <w:lang w:val="en-US" w:eastAsia="zh-CN"/>
        </w:rPr>
        <w:t>6.2.3</w:t>
      </w:r>
      <w:r>
        <w:rPr>
          <w:rFonts w:hint="eastAsia"/>
          <w:color w:val="auto"/>
          <w:lang w:val="en-GB" w:eastAsia="zh-CN"/>
        </w:rPr>
        <w:t>施工质量控制</w:t>
      </w:r>
    </w:p>
    <w:p>
      <w:pPr>
        <w:bidi w:val="0"/>
        <w:rPr>
          <w:color w:val="auto"/>
          <w:lang w:val="en-GB"/>
        </w:rPr>
      </w:pPr>
      <w:r>
        <w:rPr>
          <w:rFonts w:hint="eastAsia"/>
          <w:color w:val="auto"/>
          <w:lang w:val="en-GB"/>
        </w:rPr>
        <w:t>（1）质量目标</w:t>
      </w:r>
    </w:p>
    <w:p>
      <w:pPr>
        <w:bidi w:val="0"/>
        <w:rPr>
          <w:color w:val="auto"/>
          <w:lang w:val="en-GB"/>
        </w:rPr>
      </w:pPr>
      <w:r>
        <w:rPr>
          <w:rFonts w:hint="eastAsia"/>
          <w:color w:val="auto"/>
          <w:lang w:val="en-GB"/>
        </w:rPr>
        <w:t>在本工程中将按“诚信守诺、锐意进取、安全、优质、文明施工”的质量方针指导工程施工全过程，并实行质量一票否决权制。</w:t>
      </w:r>
    </w:p>
    <w:p>
      <w:pPr>
        <w:bidi w:val="0"/>
        <w:rPr>
          <w:color w:val="auto"/>
          <w:lang w:val="en-GB"/>
        </w:rPr>
      </w:pPr>
      <w:r>
        <w:rPr>
          <w:rFonts w:hint="eastAsia"/>
          <w:color w:val="auto"/>
          <w:lang w:val="en-GB"/>
        </w:rPr>
        <w:t>（2）建立质量体系</w:t>
      </w:r>
    </w:p>
    <w:p>
      <w:pPr>
        <w:bidi w:val="0"/>
        <w:rPr>
          <w:color w:val="auto"/>
        </w:rPr>
      </w:pPr>
      <w:r>
        <w:rPr>
          <w:rFonts w:hint="eastAsia"/>
          <w:color w:val="auto"/>
          <w:lang w:val="en-GB"/>
        </w:rPr>
        <w:t>按GB/T19001-2000idtISO9001：2000质量保证体系标准的要求，结合本工程实际情况，在工程开工前编制本工程的详细质量计划。各标段项目经理对本工程的质量目标与质量方针负责，建立和实施质量体系。从思想上把质量作为本工程的长期战略，正确决策，在行动上亲自参与，一抓到底。在实际施工过程中，坚持专业检查和群众检查相结合，贯彻班组自检互检制度。在项目技术负责人的领导协调下，结合工程具体情况、质量目标、质量方针与质量计划，进行质量管理普及教育，培训参建人员特别是质量工作人员。协调各部门的质量活动，建立质量信息决策和反馈系</w:t>
      </w:r>
    </w:p>
    <w:p>
      <w:pPr>
        <w:pStyle w:val="4"/>
        <w:bidi w:val="0"/>
        <w:outlineLvl w:val="2"/>
        <w:rPr>
          <w:color w:val="auto"/>
          <w:lang w:val="en-GB"/>
        </w:rPr>
      </w:pPr>
      <w:r>
        <w:rPr>
          <w:rFonts w:hint="eastAsia"/>
          <w:color w:val="auto"/>
          <w:lang w:val="en-US" w:eastAsia="zh-CN"/>
        </w:rPr>
        <w:t>6.2.5</w:t>
      </w:r>
      <w:r>
        <w:rPr>
          <w:rFonts w:hint="eastAsia"/>
          <w:color w:val="auto"/>
          <w:lang w:val="en-GB"/>
        </w:rPr>
        <w:t>施工安全措施</w:t>
      </w:r>
    </w:p>
    <w:p>
      <w:pPr>
        <w:bidi w:val="0"/>
        <w:rPr>
          <w:color w:val="auto"/>
          <w:lang w:val="en-GB"/>
        </w:rPr>
      </w:pPr>
      <w:r>
        <w:rPr>
          <w:rFonts w:hint="eastAsia"/>
          <w:color w:val="auto"/>
        </w:rPr>
        <w:t>（</w:t>
      </w:r>
      <w:r>
        <w:rPr>
          <w:rFonts w:hint="eastAsia"/>
          <w:color w:val="auto"/>
          <w:lang w:val="en-GB"/>
        </w:rPr>
        <w:t>1）安全生产目标</w:t>
      </w:r>
    </w:p>
    <w:p>
      <w:pPr>
        <w:bidi w:val="0"/>
        <w:rPr>
          <w:color w:val="auto"/>
          <w:lang w:val="en-GB"/>
        </w:rPr>
      </w:pPr>
      <w:r>
        <w:rPr>
          <w:rFonts w:hint="eastAsia"/>
          <w:color w:val="auto"/>
          <w:lang w:val="en-GB"/>
        </w:rPr>
        <w:t>本工程安全管理目标：确保无重大伤亡事故、无等级火警事故。具体为工程作业伤亡事故“零目标”、无重大火灾事故、无一次损失10万元以上的机械设备事故、无因工重伤事故、无交通死亡事故。</w:t>
      </w:r>
    </w:p>
    <w:p>
      <w:pPr>
        <w:bidi w:val="0"/>
        <w:rPr>
          <w:color w:val="auto"/>
          <w:lang w:val="en-GB"/>
        </w:rPr>
      </w:pPr>
      <w:r>
        <w:rPr>
          <w:rFonts w:hint="eastAsia"/>
          <w:color w:val="auto"/>
          <w:lang w:val="en-GB"/>
        </w:rPr>
        <w:t>（2）安全管理机构</w:t>
      </w:r>
    </w:p>
    <w:p>
      <w:pPr>
        <w:bidi w:val="0"/>
        <w:rPr>
          <w:color w:val="auto"/>
          <w:lang w:val="en-GB"/>
        </w:rPr>
      </w:pPr>
      <w:r>
        <w:rPr>
          <w:rFonts w:hint="eastAsia"/>
          <w:color w:val="auto"/>
          <w:lang w:val="en-GB"/>
        </w:rPr>
        <w:t>各项目部成立安全生产领导小组，由项目经理任组长,主持安全工作，同时由项目副经理担任副组长，负责日常安全生产施工生产。安全员由经专门培训且责任心强的人员担任，负责本职安全工作，及时反映各种安全隐患并及时进行处理，做到防患于未然。</w:t>
      </w:r>
    </w:p>
    <w:p>
      <w:pPr>
        <w:pStyle w:val="3"/>
        <w:bidi w:val="0"/>
        <w:ind w:left="0" w:leftChars="0" w:firstLine="0" w:firstLineChars="0"/>
        <w:outlineLvl w:val="1"/>
        <w:rPr>
          <w:rFonts w:hint="default" w:ascii="Times New Roman" w:hAnsi="Times New Roman" w:eastAsia="宋体" w:cs="Times New Roman"/>
          <w:color w:val="auto"/>
          <w:lang w:eastAsia="zh-CN"/>
        </w:rPr>
      </w:pPr>
      <w:bookmarkStart w:id="89" w:name="_Toc2562"/>
      <w:r>
        <w:rPr>
          <w:rFonts w:hint="eastAsia" w:ascii="Times New Roman" w:hAnsi="Times New Roman" w:eastAsia="宋体" w:cs="Times New Roman"/>
          <w:color w:val="auto"/>
          <w:lang w:val="en-US" w:eastAsia="zh-CN"/>
        </w:rPr>
        <w:t>6</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3</w:t>
      </w:r>
      <w:r>
        <w:rPr>
          <w:rFonts w:hint="default" w:ascii="Times New Roman" w:hAnsi="Times New Roman" w:eastAsia="宋体" w:cs="Times New Roman"/>
          <w:color w:val="auto"/>
          <w:lang w:eastAsia="zh-CN"/>
        </w:rPr>
        <w:t>施工总布置</w:t>
      </w:r>
      <w:bookmarkEnd w:id="86"/>
      <w:bookmarkEnd w:id="87"/>
      <w:bookmarkEnd w:id="89"/>
    </w:p>
    <w:p>
      <w:pPr>
        <w:bidi w:val="0"/>
        <w:rPr>
          <w:color w:val="auto"/>
          <w:highlight w:val="none"/>
        </w:rPr>
      </w:pPr>
      <w:r>
        <w:rPr>
          <w:color w:val="auto"/>
        </w:rPr>
        <w:t>根据项目布置特点以及地形情况，施工总布置以不干扰主体工程施工、有利生产、方便生活因地</w:t>
      </w:r>
      <w:r>
        <w:rPr>
          <w:color w:val="auto"/>
          <w:highlight w:val="none"/>
        </w:rPr>
        <w:t>制宜、少占民房与耕地、就近取材的原则布置。</w:t>
      </w:r>
    </w:p>
    <w:p>
      <w:pPr>
        <w:bidi w:val="0"/>
        <w:rPr>
          <w:color w:val="auto"/>
          <w:highlight w:val="none"/>
        </w:rPr>
      </w:pPr>
      <w:r>
        <w:rPr>
          <w:color w:val="auto"/>
          <w:highlight w:val="none"/>
        </w:rPr>
        <w:t>施工总布置分区如下：</w:t>
      </w:r>
    </w:p>
    <w:p>
      <w:pPr>
        <w:bidi w:val="0"/>
        <w:rPr>
          <w:color w:val="auto"/>
          <w:highlight w:val="none"/>
        </w:rPr>
      </w:pPr>
      <w:r>
        <w:rPr>
          <w:color w:val="auto"/>
          <w:highlight w:val="none"/>
        </w:rPr>
        <w:t>(1)主体工程施工区：项目片区排灌渠系。</w:t>
      </w:r>
    </w:p>
    <w:p>
      <w:pPr>
        <w:bidi w:val="0"/>
        <w:rPr>
          <w:color w:val="auto"/>
          <w:highlight w:val="none"/>
        </w:rPr>
      </w:pPr>
      <w:r>
        <w:rPr>
          <w:color w:val="auto"/>
          <w:highlight w:val="none"/>
        </w:rPr>
        <w:t>(2)砂、石料开采区：由本片区</w:t>
      </w:r>
      <w:r>
        <w:rPr>
          <w:rFonts w:hint="eastAsia"/>
          <w:color w:val="auto"/>
          <w:highlight w:val="none"/>
        </w:rPr>
        <w:t>从</w:t>
      </w:r>
      <w:r>
        <w:rPr>
          <w:rFonts w:hint="eastAsia"/>
          <w:color w:val="auto"/>
          <w:highlight w:val="none"/>
          <w:lang w:val="en-US" w:eastAsia="zh-CN"/>
        </w:rPr>
        <w:t>项目区附近砂</w:t>
      </w:r>
      <w:r>
        <w:rPr>
          <w:rFonts w:hint="eastAsia"/>
          <w:color w:val="auto"/>
          <w:highlight w:val="none"/>
        </w:rPr>
        <w:t>石场</w:t>
      </w:r>
      <w:r>
        <w:rPr>
          <w:color w:val="auto"/>
          <w:highlight w:val="none"/>
        </w:rPr>
        <w:t>砂料场</w:t>
      </w:r>
      <w:r>
        <w:rPr>
          <w:rFonts w:hint="eastAsia"/>
          <w:color w:val="auto"/>
          <w:highlight w:val="none"/>
        </w:rPr>
        <w:t>采购</w:t>
      </w:r>
      <w:r>
        <w:rPr>
          <w:color w:val="auto"/>
          <w:highlight w:val="none"/>
        </w:rPr>
        <w:t>，不设独立开采区；土料在项目区内就地取材。</w:t>
      </w:r>
    </w:p>
    <w:p>
      <w:pPr>
        <w:bidi w:val="0"/>
        <w:rPr>
          <w:color w:val="auto"/>
          <w:highlight w:val="none"/>
        </w:rPr>
      </w:pPr>
      <w:r>
        <w:rPr>
          <w:color w:val="auto"/>
          <w:highlight w:val="none"/>
        </w:rPr>
        <w:t>(3)施工场区：包括堆料场、砼拌合站、机修厂和钢木加工厂。</w:t>
      </w:r>
    </w:p>
    <w:p>
      <w:pPr>
        <w:bidi w:val="0"/>
        <w:rPr>
          <w:color w:val="auto"/>
          <w:highlight w:val="none"/>
        </w:rPr>
      </w:pPr>
      <w:r>
        <w:rPr>
          <w:color w:val="auto"/>
          <w:highlight w:val="none"/>
        </w:rPr>
        <w:t>(4)生活区：田间工程施工布置于实施地点附近的村部。</w:t>
      </w:r>
    </w:p>
    <w:p>
      <w:pPr>
        <w:bidi w:val="0"/>
        <w:rPr>
          <w:rFonts w:hint="default"/>
          <w:color w:val="auto"/>
          <w:highlight w:val="none"/>
          <w:lang w:val="en-US" w:eastAsia="zh-CN"/>
        </w:rPr>
      </w:pPr>
      <w:r>
        <w:rPr>
          <w:color w:val="auto"/>
          <w:highlight w:val="none"/>
          <w:lang w:val="en-GB"/>
        </w:rPr>
        <w:t>(5)项目区沟渠旁未设田间道</w:t>
      </w:r>
      <w:r>
        <w:rPr>
          <w:rFonts w:hint="eastAsia"/>
          <w:color w:val="auto"/>
          <w:highlight w:val="none"/>
        </w:rPr>
        <w:t>路</w:t>
      </w:r>
      <w:r>
        <w:rPr>
          <w:color w:val="auto"/>
          <w:highlight w:val="none"/>
          <w:lang w:val="en-GB"/>
        </w:rPr>
        <w:t>，采用人工或双胶轮车运输</w:t>
      </w:r>
      <w:r>
        <w:rPr>
          <w:rFonts w:hint="eastAsia"/>
          <w:color w:val="auto"/>
          <w:highlight w:val="none"/>
        </w:rPr>
        <w:t>施工材料</w:t>
      </w:r>
      <w:r>
        <w:rPr>
          <w:color w:val="auto"/>
          <w:highlight w:val="none"/>
          <w:lang w:val="en-GB"/>
        </w:rPr>
        <w:t>。</w:t>
      </w:r>
    </w:p>
    <w:p>
      <w:pPr>
        <w:pStyle w:val="3"/>
        <w:bidi w:val="0"/>
        <w:ind w:left="0" w:leftChars="0" w:firstLine="0" w:firstLineChars="0"/>
        <w:outlineLvl w:val="1"/>
        <w:rPr>
          <w:rFonts w:hint="default" w:ascii="Times New Roman" w:hAnsi="Times New Roman" w:eastAsia="宋体" w:cs="Times New Roman"/>
          <w:color w:val="auto"/>
          <w:highlight w:val="none"/>
          <w:lang w:val="en-US" w:eastAsia="zh-CN"/>
        </w:rPr>
      </w:pPr>
      <w:bookmarkStart w:id="90" w:name="_Toc29060"/>
      <w:bookmarkStart w:id="91" w:name="_Toc1014"/>
      <w:bookmarkStart w:id="92" w:name="_Toc20263"/>
      <w:r>
        <w:rPr>
          <w:rFonts w:hint="eastAsia" w:ascii="Times New Roman" w:hAnsi="Times New Roman" w:eastAsia="宋体" w:cs="Times New Roman"/>
          <w:color w:val="auto"/>
          <w:highlight w:val="none"/>
          <w:lang w:val="en-US" w:eastAsia="zh-CN"/>
        </w:rPr>
        <w:t>6</w:t>
      </w:r>
      <w:r>
        <w:rPr>
          <w:rFonts w:hint="default" w:ascii="Times New Roman" w:hAnsi="Times New Roman" w:eastAsia="宋体" w:cs="Times New Roman"/>
          <w:color w:val="auto"/>
          <w:highlight w:val="none"/>
          <w:lang w:val="en-US" w:eastAsia="zh-CN"/>
        </w:rPr>
        <w:t>.4主要技术供应</w:t>
      </w:r>
      <w:bookmarkEnd w:id="90"/>
      <w:bookmarkEnd w:id="91"/>
      <w:bookmarkEnd w:id="92"/>
    </w:p>
    <w:p>
      <w:pPr>
        <w:bidi w:val="0"/>
        <w:rPr>
          <w:color w:val="auto"/>
          <w:highlight w:val="none"/>
          <w:lang w:val="en-GB"/>
        </w:rPr>
      </w:pPr>
      <w:bookmarkStart w:id="93" w:name="_Toc30927"/>
      <w:bookmarkStart w:id="94" w:name="_Toc27046"/>
      <w:r>
        <w:rPr>
          <w:rFonts w:hint="eastAsia"/>
          <w:color w:val="auto"/>
          <w:highlight w:val="none"/>
          <w:lang w:val="en-GB"/>
        </w:rPr>
        <w:t>本工程的技术供应主要指劳动力消耗及施工机械设备的需要量。本工程施工季节性强，实际施工工期紧，为确保本工程如期完成，在施工前应与地方政府和有关部门加强联络、建立联系、签订必要的意向文件，以取得项目片区地方政府与有关部门在工程所需人力资源和地方材料供应方面以及一些交通设施使用方面的全力支持，为确保工程的按期完工打下良好的社会基础。</w:t>
      </w:r>
    </w:p>
    <w:p>
      <w:pPr>
        <w:bidi w:val="0"/>
        <w:rPr>
          <w:color w:val="auto"/>
          <w:highlight w:val="none"/>
          <w:lang w:val="en-GB"/>
        </w:rPr>
      </w:pPr>
      <w:r>
        <w:rPr>
          <w:rFonts w:hint="eastAsia"/>
          <w:color w:val="auto"/>
          <w:highlight w:val="none"/>
          <w:lang w:val="en-GB"/>
        </w:rPr>
        <w:t>根据工程量、工作面及项目的相对独立性，合理划分施工区域，分标段进行施工招标，最大限度整合人力、物力、财力等社会资源，确保工程保质、保量按期完工。</w:t>
      </w:r>
    </w:p>
    <w:p>
      <w:pPr>
        <w:pStyle w:val="35"/>
        <w:bidi w:val="0"/>
        <w:rPr>
          <w:rFonts w:hint="default"/>
          <w:color w:val="auto"/>
          <w:highlight w:val="none"/>
          <w:lang w:val="en-US" w:eastAsia="zh-CN"/>
        </w:rPr>
      </w:pPr>
    </w:p>
    <w:p>
      <w:pPr>
        <w:pStyle w:val="3"/>
        <w:bidi w:val="0"/>
        <w:ind w:left="0" w:leftChars="0" w:firstLine="0" w:firstLineChars="0"/>
        <w:outlineLvl w:val="1"/>
        <w:rPr>
          <w:rFonts w:hint="default" w:ascii="Times New Roman" w:hAnsi="Times New Roman" w:eastAsia="宋体" w:cs="Times New Roman"/>
          <w:color w:val="auto"/>
          <w:highlight w:val="none"/>
          <w:lang w:val="en-US" w:eastAsia="zh-CN"/>
        </w:rPr>
      </w:pPr>
      <w:bookmarkStart w:id="95" w:name="_Toc22649"/>
      <w:r>
        <w:rPr>
          <w:rFonts w:hint="eastAsia" w:ascii="Times New Roman" w:hAnsi="Times New Roman" w:eastAsia="宋体" w:cs="Times New Roman"/>
          <w:color w:val="auto"/>
          <w:highlight w:val="none"/>
          <w:lang w:val="en-US" w:eastAsia="zh-CN"/>
        </w:rPr>
        <w:t>6</w:t>
      </w:r>
      <w:r>
        <w:rPr>
          <w:rFonts w:hint="default" w:ascii="Times New Roman" w:hAnsi="Times New Roman" w:eastAsia="宋体" w:cs="Times New Roman"/>
          <w:color w:val="auto"/>
          <w:highlight w:val="none"/>
          <w:lang w:val="en-US" w:eastAsia="zh-CN"/>
        </w:rPr>
        <w:t>.5施工总进度</w:t>
      </w:r>
      <w:bookmarkEnd w:id="93"/>
      <w:bookmarkEnd w:id="94"/>
      <w:bookmarkEnd w:id="95"/>
    </w:p>
    <w:p>
      <w:pPr>
        <w:pStyle w:val="4"/>
        <w:bidi w:val="0"/>
        <w:outlineLvl w:val="2"/>
        <w:rPr>
          <w:color w:val="auto"/>
          <w:highlight w:val="none"/>
          <w:lang w:val="en-GB"/>
        </w:rPr>
      </w:pPr>
      <w:bookmarkStart w:id="96" w:name="_Toc173792612"/>
      <w:bookmarkStart w:id="97" w:name="_Toc437978819"/>
      <w:bookmarkStart w:id="98" w:name="_Toc330374725"/>
      <w:bookmarkStart w:id="99" w:name="_Toc408220708"/>
      <w:bookmarkStart w:id="100" w:name="_Toc10147"/>
      <w:bookmarkStart w:id="101" w:name="_Toc12941"/>
      <w:r>
        <w:rPr>
          <w:rFonts w:hint="eastAsia"/>
          <w:color w:val="auto"/>
          <w:highlight w:val="none"/>
          <w:lang w:val="en-US" w:eastAsia="zh-CN"/>
        </w:rPr>
        <w:t>6</w:t>
      </w:r>
      <w:r>
        <w:rPr>
          <w:color w:val="auto"/>
          <w:highlight w:val="none"/>
          <w:lang w:val="en-GB"/>
        </w:rPr>
        <w:t>.</w:t>
      </w:r>
      <w:r>
        <w:rPr>
          <w:rFonts w:hint="eastAsia"/>
          <w:color w:val="auto"/>
          <w:highlight w:val="none"/>
          <w:lang w:val="en-GB"/>
        </w:rPr>
        <w:t>5</w:t>
      </w:r>
      <w:r>
        <w:rPr>
          <w:color w:val="auto"/>
          <w:highlight w:val="none"/>
          <w:lang w:val="en-GB"/>
        </w:rPr>
        <w:t>.1施工总进度安排原则</w:t>
      </w:r>
      <w:bookmarkEnd w:id="96"/>
      <w:bookmarkEnd w:id="97"/>
      <w:bookmarkEnd w:id="98"/>
      <w:bookmarkEnd w:id="99"/>
    </w:p>
    <w:p>
      <w:pPr>
        <w:bidi w:val="0"/>
        <w:rPr>
          <w:color w:val="auto"/>
          <w:highlight w:val="none"/>
        </w:rPr>
      </w:pPr>
      <w:r>
        <w:rPr>
          <w:rFonts w:hint="eastAsia"/>
          <w:color w:val="auto"/>
          <w:highlight w:val="none"/>
          <w:lang w:eastAsia="zh-CN"/>
        </w:rPr>
        <w:t>（1）</w:t>
      </w:r>
      <w:r>
        <w:rPr>
          <w:color w:val="auto"/>
          <w:highlight w:val="none"/>
        </w:rPr>
        <w:t>严格执行基本建设程序，遵照国家政策法令和有关规程规范；</w:t>
      </w:r>
    </w:p>
    <w:p>
      <w:pPr>
        <w:bidi w:val="0"/>
        <w:rPr>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color w:val="auto"/>
          <w:highlight w:val="none"/>
        </w:rPr>
        <w:t>依据工程特性和工程布置特点，将沟渠及渠系建筑物等主要工程项目安排在非灌溉期、农闲季节施工。</w:t>
      </w:r>
    </w:p>
    <w:p>
      <w:pPr>
        <w:bidi w:val="0"/>
        <w:rPr>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color w:val="auto"/>
          <w:highlight w:val="none"/>
        </w:rPr>
        <w:t>各项目施工前后兼顾，合理衔接，减少干扰，均衡施工；</w:t>
      </w:r>
    </w:p>
    <w:p>
      <w:pPr>
        <w:bidi w:val="0"/>
        <w:rPr>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color w:val="auto"/>
          <w:highlight w:val="none"/>
        </w:rPr>
        <w:t>整个项目施工采用小型机械施工及人工施工相结合。</w:t>
      </w:r>
    </w:p>
    <w:p>
      <w:pPr>
        <w:pStyle w:val="4"/>
        <w:bidi w:val="0"/>
        <w:outlineLvl w:val="2"/>
        <w:rPr>
          <w:color w:val="auto"/>
          <w:highlight w:val="none"/>
          <w:lang w:val="en-GB"/>
        </w:rPr>
      </w:pPr>
      <w:bookmarkStart w:id="102" w:name="_Toc173792613"/>
      <w:bookmarkStart w:id="103" w:name="_Toc408220709"/>
      <w:bookmarkStart w:id="104" w:name="_Toc330374726"/>
      <w:bookmarkStart w:id="105" w:name="_Toc437978820"/>
      <w:r>
        <w:rPr>
          <w:rFonts w:hint="eastAsia"/>
          <w:color w:val="auto"/>
          <w:highlight w:val="none"/>
          <w:lang w:val="en-US" w:eastAsia="zh-CN"/>
        </w:rPr>
        <w:t>6</w:t>
      </w:r>
      <w:r>
        <w:rPr>
          <w:color w:val="auto"/>
          <w:highlight w:val="none"/>
          <w:lang w:val="en-GB"/>
        </w:rPr>
        <w:t>.</w:t>
      </w:r>
      <w:r>
        <w:rPr>
          <w:rFonts w:hint="eastAsia"/>
          <w:color w:val="auto"/>
          <w:highlight w:val="none"/>
        </w:rPr>
        <w:t>5</w:t>
      </w:r>
      <w:r>
        <w:rPr>
          <w:color w:val="auto"/>
          <w:highlight w:val="none"/>
          <w:lang w:val="en-GB"/>
        </w:rPr>
        <w:t>.2</w:t>
      </w:r>
      <w:bookmarkEnd w:id="102"/>
      <w:bookmarkEnd w:id="103"/>
      <w:bookmarkEnd w:id="104"/>
      <w:r>
        <w:rPr>
          <w:color w:val="auto"/>
          <w:highlight w:val="none"/>
          <w:lang w:val="en-GB"/>
        </w:rPr>
        <w:t>实施进度计划</w:t>
      </w:r>
      <w:bookmarkEnd w:id="105"/>
    </w:p>
    <w:p>
      <w:pPr>
        <w:bidi w:val="0"/>
        <w:rPr>
          <w:color w:val="auto"/>
          <w:highlight w:val="none"/>
        </w:rPr>
      </w:pPr>
      <w:bookmarkStart w:id="106" w:name="_Toc330374727"/>
      <w:bookmarkStart w:id="107" w:name="_Toc173792614"/>
      <w:bookmarkStart w:id="108" w:name="_Toc408220710"/>
      <w:r>
        <w:rPr>
          <w:color w:val="auto"/>
          <w:highlight w:val="none"/>
        </w:rPr>
        <w:t>本项目建设期为</w:t>
      </w:r>
      <w:r>
        <w:rPr>
          <w:rFonts w:hint="eastAsia"/>
          <w:color w:val="auto"/>
          <w:highlight w:val="none"/>
          <w:lang w:val="en-US" w:eastAsia="zh-CN"/>
        </w:rPr>
        <w:t>6个月</w:t>
      </w:r>
      <w:r>
        <w:rPr>
          <w:color w:val="auto"/>
          <w:highlight w:val="none"/>
        </w:rPr>
        <w:t>，其中：主体工程施工期</w:t>
      </w:r>
      <w:r>
        <w:rPr>
          <w:rFonts w:hint="eastAsia"/>
          <w:color w:val="auto"/>
          <w:highlight w:val="none"/>
          <w:lang w:val="en-US" w:eastAsia="zh-CN"/>
        </w:rPr>
        <w:t>3</w:t>
      </w:r>
      <w:r>
        <w:rPr>
          <w:color w:val="auto"/>
          <w:highlight w:val="none"/>
        </w:rPr>
        <w:t>个月，即计划在20</w:t>
      </w:r>
      <w:r>
        <w:rPr>
          <w:rFonts w:hint="eastAsia"/>
          <w:color w:val="auto"/>
          <w:highlight w:val="none"/>
        </w:rPr>
        <w:t>2</w:t>
      </w:r>
      <w:r>
        <w:rPr>
          <w:rFonts w:hint="eastAsia"/>
          <w:color w:val="auto"/>
          <w:highlight w:val="none"/>
          <w:lang w:val="en-US" w:eastAsia="zh-CN"/>
        </w:rPr>
        <w:t>3</w:t>
      </w:r>
      <w:r>
        <w:rPr>
          <w:color w:val="auto"/>
          <w:highlight w:val="none"/>
        </w:rPr>
        <w:t>年</w:t>
      </w:r>
      <w:r>
        <w:rPr>
          <w:rFonts w:hint="eastAsia"/>
          <w:color w:val="auto"/>
          <w:highlight w:val="none"/>
          <w:lang w:val="en-US" w:eastAsia="zh-CN"/>
        </w:rPr>
        <w:t>11</w:t>
      </w:r>
      <w:r>
        <w:rPr>
          <w:color w:val="auto"/>
          <w:highlight w:val="none"/>
        </w:rPr>
        <w:t>月动工，至202</w:t>
      </w:r>
      <w:r>
        <w:rPr>
          <w:rFonts w:hint="eastAsia"/>
          <w:color w:val="auto"/>
          <w:highlight w:val="none"/>
          <w:lang w:val="en-US" w:eastAsia="zh-CN"/>
        </w:rPr>
        <w:t>4</w:t>
      </w:r>
      <w:r>
        <w:rPr>
          <w:color w:val="auto"/>
          <w:highlight w:val="none"/>
        </w:rPr>
        <w:t>年</w:t>
      </w:r>
      <w:r>
        <w:rPr>
          <w:rFonts w:hint="eastAsia"/>
          <w:color w:val="auto"/>
          <w:highlight w:val="none"/>
          <w:lang w:val="en-US" w:eastAsia="zh-CN"/>
        </w:rPr>
        <w:t>2</w:t>
      </w:r>
      <w:r>
        <w:rPr>
          <w:color w:val="auto"/>
          <w:highlight w:val="none"/>
        </w:rPr>
        <w:t>月</w:t>
      </w:r>
      <w:r>
        <w:rPr>
          <w:rFonts w:hint="eastAsia"/>
          <w:color w:val="auto"/>
          <w:highlight w:val="none"/>
          <w:lang w:val="en-US" w:eastAsia="zh-CN"/>
        </w:rPr>
        <w:t>底</w:t>
      </w:r>
      <w:r>
        <w:rPr>
          <w:color w:val="auto"/>
          <w:highlight w:val="none"/>
        </w:rPr>
        <w:t>完成全部工程施工。</w:t>
      </w:r>
    </w:p>
    <w:bookmarkEnd w:id="106"/>
    <w:bookmarkEnd w:id="107"/>
    <w:bookmarkEnd w:id="108"/>
    <w:p>
      <w:pPr>
        <w:bidi w:val="0"/>
        <w:jc w:val="center"/>
        <w:rPr>
          <w:b/>
          <w:bCs/>
          <w:color w:val="auto"/>
        </w:rPr>
        <w:sectPr>
          <w:headerReference r:id="rId5" w:type="default"/>
          <w:footerReference r:id="rId6" w:type="default"/>
          <w:pgSz w:w="23757" w:h="16783" w:orient="landscape"/>
          <w:pgMar w:top="1440" w:right="1423" w:bottom="1440" w:left="1423" w:header="850" w:footer="992" w:gutter="0"/>
          <w:pgBorders>
            <w:top w:val="none" w:sz="0" w:space="0"/>
            <w:left w:val="none" w:sz="0" w:space="0"/>
            <w:bottom w:val="none" w:sz="0" w:space="0"/>
            <w:right w:val="none" w:sz="0" w:space="0"/>
          </w:pgBorders>
          <w:pgNumType w:fmt="decimal"/>
          <w:cols w:space="907" w:num="2"/>
          <w:docGrid w:type="lines" w:linePitch="319" w:charSpace="0"/>
        </w:sectPr>
      </w:pPr>
    </w:p>
    <w:bookmarkEnd w:id="100"/>
    <w:bookmarkEnd w:id="101"/>
    <w:p>
      <w:pPr>
        <w:bidi w:val="0"/>
        <w:rPr>
          <w:rFonts w:hint="default"/>
          <w:color w:val="auto"/>
          <w:lang w:eastAsia="zh-CN"/>
        </w:rPr>
      </w:pPr>
    </w:p>
    <w:bookmarkEnd w:id="72"/>
    <w:bookmarkEnd w:id="73"/>
    <w:p>
      <w:pPr>
        <w:pStyle w:val="2"/>
        <w:bidi w:val="0"/>
        <w:outlineLvl w:val="0"/>
        <w:rPr>
          <w:rFonts w:hint="default" w:ascii="Times New Roman" w:hAnsi="Times New Roman" w:eastAsia="宋体" w:cs="Times New Roman"/>
          <w:color w:val="auto"/>
          <w:lang w:val="en-US" w:eastAsia="zh-CN"/>
        </w:rPr>
      </w:pPr>
      <w:bookmarkStart w:id="109" w:name="_Toc30876"/>
      <w:bookmarkStart w:id="110" w:name="_Toc27295"/>
      <w:bookmarkStart w:id="111" w:name="_Toc8879"/>
      <w:r>
        <w:rPr>
          <w:rFonts w:hint="eastAsia" w:eastAsia="宋体" w:cs="Times New Roman"/>
          <w:color w:val="auto"/>
          <w:lang w:val="en-US" w:eastAsia="zh-CN"/>
        </w:rPr>
        <w:t>7概</w:t>
      </w:r>
      <w:r>
        <w:rPr>
          <w:rFonts w:hint="default" w:ascii="Times New Roman" w:hAnsi="Times New Roman" w:eastAsia="宋体" w:cs="Times New Roman"/>
          <w:color w:val="auto"/>
          <w:lang w:val="en-US" w:eastAsia="zh-CN"/>
        </w:rPr>
        <w:t>算与资金筹措</w:t>
      </w:r>
      <w:bookmarkEnd w:id="109"/>
      <w:bookmarkEnd w:id="110"/>
      <w:bookmarkEnd w:id="111"/>
    </w:p>
    <w:p>
      <w:pPr>
        <w:rPr>
          <w:rFonts w:hint="default"/>
          <w:color w:val="auto"/>
          <w:lang w:val="en-US" w:eastAsia="zh-CN"/>
        </w:rPr>
      </w:pPr>
    </w:p>
    <w:p>
      <w:pPr>
        <w:pStyle w:val="3"/>
        <w:bidi w:val="0"/>
        <w:ind w:left="0" w:leftChars="0" w:firstLine="0" w:firstLineChars="0"/>
        <w:outlineLvl w:val="1"/>
        <w:rPr>
          <w:rFonts w:hint="default" w:ascii="Times New Roman" w:hAnsi="Times New Roman" w:eastAsia="宋体" w:cs="Times New Roman"/>
          <w:color w:val="auto"/>
          <w:lang w:eastAsia="zh-CN"/>
        </w:rPr>
      </w:pPr>
      <w:bookmarkStart w:id="112" w:name="_Toc2574"/>
      <w:bookmarkStart w:id="113" w:name="_Toc30567"/>
      <w:bookmarkStart w:id="114" w:name="_Toc57"/>
      <w:r>
        <w:rPr>
          <w:rFonts w:hint="eastAsia" w:ascii="Times New Roman" w:hAnsi="Times New Roman" w:eastAsia="宋体" w:cs="Times New Roman"/>
          <w:color w:val="auto"/>
          <w:lang w:val="en-US" w:eastAsia="zh-CN"/>
        </w:rPr>
        <w:t>7.</w:t>
      </w:r>
      <w:r>
        <w:rPr>
          <w:rFonts w:hint="default" w:ascii="Times New Roman" w:hAnsi="Times New Roman" w:eastAsia="宋体" w:cs="Times New Roman"/>
          <w:color w:val="auto"/>
        </w:rPr>
        <w:t>1</w:t>
      </w:r>
      <w:bookmarkEnd w:id="40"/>
      <w:bookmarkEnd w:id="41"/>
      <w:r>
        <w:rPr>
          <w:rFonts w:hint="default" w:ascii="Times New Roman" w:hAnsi="Times New Roman" w:eastAsia="宋体" w:cs="Times New Roman"/>
          <w:color w:val="auto"/>
          <w:lang w:eastAsia="zh-CN"/>
        </w:rPr>
        <w:t>编制依据及说明</w:t>
      </w:r>
      <w:bookmarkEnd w:id="112"/>
      <w:bookmarkEnd w:id="113"/>
      <w:bookmarkEnd w:id="114"/>
      <w:bookmarkStart w:id="124" w:name="_GoBack"/>
      <w:bookmarkEnd w:id="124"/>
    </w:p>
    <w:p>
      <w:pPr>
        <w:pStyle w:val="4"/>
        <w:bidi w:val="0"/>
        <w:ind w:left="0" w:leftChars="0" w:firstLine="0" w:firstLineChars="0"/>
        <w:outlineLvl w:val="2"/>
        <w:rPr>
          <w:rFonts w:hint="default"/>
          <w:color w:val="auto"/>
          <w:lang w:eastAsia="zh-CN"/>
        </w:rPr>
      </w:pPr>
      <w:r>
        <w:rPr>
          <w:rFonts w:hint="eastAsia" w:cs="Times New Roman"/>
          <w:color w:val="auto"/>
          <w:lang w:val="en-US" w:eastAsia="zh-CN"/>
        </w:rPr>
        <w:t>7.</w:t>
      </w:r>
      <w:r>
        <w:rPr>
          <w:rFonts w:hint="default" w:ascii="Times New Roman" w:hAnsi="Times New Roman" w:eastAsia="宋体" w:cs="Times New Roman"/>
          <w:color w:val="auto"/>
        </w:rPr>
        <w:t>1.1</w:t>
      </w:r>
      <w:r>
        <w:rPr>
          <w:rFonts w:hint="eastAsia" w:cs="Times New Roman"/>
          <w:color w:val="auto"/>
          <w:lang w:eastAsia="zh-CN"/>
        </w:rPr>
        <w:t>概况</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eastAsia="zh-CN"/>
        </w:rPr>
        <w:t>本项目为</w:t>
      </w:r>
      <w:r>
        <w:rPr>
          <w:rFonts w:hint="eastAsia" w:cs="Times New Roman"/>
          <w:color w:val="auto"/>
          <w:kern w:val="2"/>
          <w:sz w:val="24"/>
          <w:szCs w:val="24"/>
          <w:lang w:val="en-US" w:eastAsia="zh-CN" w:bidi="ar-SA"/>
        </w:rPr>
        <w:t>华容县牛氏湖流域（十三刀村-牛角尖村段）水环境综合治理（一期）工程初步设计</w:t>
      </w:r>
      <w:r>
        <w:rPr>
          <w:rFonts w:hint="eastAsia" w:ascii="Times New Roman" w:hAnsi="Times New Roman" w:cs="Times New Roman"/>
          <w:color w:val="auto"/>
          <w:kern w:val="2"/>
          <w:sz w:val="24"/>
          <w:szCs w:val="24"/>
          <w:lang w:val="en-US" w:eastAsia="zh-CN" w:bidi="ar-SA"/>
        </w:rPr>
        <w:t>方案</w:t>
      </w:r>
      <w:r>
        <w:rPr>
          <w:rFonts w:hint="eastAsia" w:ascii="Times New Roman" w:hAnsi="Times New Roman" w:eastAsia="宋体" w:cs="Times New Roman"/>
          <w:color w:val="auto"/>
          <w:sz w:val="24"/>
          <w:szCs w:val="24"/>
          <w:lang w:eastAsia="zh-CN"/>
        </w:rPr>
        <w:t>，</w:t>
      </w:r>
      <w:r>
        <w:rPr>
          <w:rFonts w:hint="eastAsia" w:ascii="Times New Roman" w:hAnsi="Times New Roman" w:cs="Times New Roman"/>
          <w:color w:val="auto"/>
          <w:kern w:val="2"/>
          <w:sz w:val="24"/>
          <w:szCs w:val="24"/>
          <w:lang w:val="en-US" w:eastAsia="zh-CN" w:bidi="ar-SA"/>
        </w:rPr>
        <w:t>本项目区涉及2个乡镇4个村，项目实施地点分别为新河乡（十三刀村、牛角尖村、新合村），北景港镇（</w:t>
      </w:r>
      <w:r>
        <w:rPr>
          <w:rFonts w:hint="eastAsia" w:cs="Times New Roman"/>
          <w:color w:val="auto"/>
          <w:kern w:val="2"/>
          <w:sz w:val="24"/>
          <w:szCs w:val="24"/>
          <w:lang w:val="en-US" w:eastAsia="zh-CN" w:bidi="ar-SA"/>
        </w:rPr>
        <w:t>联盟村</w:t>
      </w:r>
      <w:r>
        <w:rPr>
          <w:rFonts w:hint="eastAsia" w:ascii="Times New Roman" w:hAnsi="Times New Roman" w:cs="Times New Roman"/>
          <w:color w:val="auto"/>
          <w:kern w:val="2"/>
          <w:sz w:val="24"/>
          <w:szCs w:val="24"/>
          <w:lang w:val="en-US" w:eastAsia="zh-CN" w:bidi="ar-SA"/>
        </w:rPr>
        <w:t>）</w:t>
      </w:r>
      <w:r>
        <w:rPr>
          <w:rFonts w:hint="eastAsia" w:ascii="Times New Roman" w:hAnsi="Times New Roman" w:eastAsia="宋体" w:cs="Times New Roman"/>
          <w:color w:val="auto"/>
          <w:sz w:val="24"/>
          <w:szCs w:val="24"/>
          <w:lang w:eastAsia="zh-CN"/>
        </w:rPr>
        <w:t>。</w:t>
      </w:r>
    </w:p>
    <w:p>
      <w:pPr>
        <w:keepNext w:val="0"/>
        <w:keepLines w:val="0"/>
        <w:pageBreakBefore w:val="0"/>
        <w:widowControl w:val="0"/>
        <w:wordWrap/>
        <w:topLinePunct w:val="0"/>
        <w:bidi w:val="0"/>
        <w:spacing w:line="360" w:lineRule="auto"/>
        <w:ind w:left="0" w:firstLine="480" w:firstLineChars="200"/>
        <w:jc w:val="left"/>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kern w:val="2"/>
          <w:sz w:val="24"/>
          <w:szCs w:val="24"/>
          <w:lang w:val="en-US" w:eastAsia="zh-CN" w:bidi="ar-SA"/>
        </w:rPr>
        <w:t>（1）</w:t>
      </w:r>
      <w:r>
        <w:rPr>
          <w:rFonts w:hint="eastAsia" w:ascii="Times New Roman" w:hAnsi="Times New Roman" w:eastAsia="宋体" w:cs="Times New Roman"/>
          <w:color w:val="auto"/>
          <w:sz w:val="24"/>
          <w:szCs w:val="24"/>
          <w:lang w:val="en-US" w:eastAsia="zh-CN"/>
        </w:rPr>
        <w:t>主要建设内容：</w:t>
      </w:r>
    </w:p>
    <w:p>
      <w:pPr>
        <w:pStyle w:val="6"/>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1）污染底泥清理工程：藕塘底泥清淤与外运</w:t>
      </w:r>
      <w:r>
        <w:rPr>
          <w:rFonts w:hint="eastAsia" w:eastAsia="宋体" w:cs="Times New Roman"/>
          <w:color w:val="auto"/>
          <w:kern w:val="2"/>
          <w:sz w:val="24"/>
          <w:szCs w:val="24"/>
          <w:lang w:val="en-US" w:eastAsia="zh-CN" w:bidi="ar-SA"/>
        </w:rPr>
        <w:t>64982.624</w:t>
      </w:r>
      <w:r>
        <w:rPr>
          <w:rFonts w:hint="eastAsia" w:ascii="Times New Roman" w:hAnsi="Times New Roman" w:eastAsia="宋体" w:cs="Times New Roman"/>
          <w:color w:val="auto"/>
          <w:kern w:val="2"/>
          <w:sz w:val="24"/>
          <w:szCs w:val="24"/>
          <w:lang w:val="en-US" w:eastAsia="zh-CN" w:bidi="ar-SA"/>
        </w:rPr>
        <w:t>m3,清淤深度</w:t>
      </w:r>
      <w:r>
        <w:rPr>
          <w:rFonts w:hint="eastAsia" w:eastAsia="宋体" w:cs="Times New Roman"/>
          <w:color w:val="auto"/>
          <w:kern w:val="2"/>
          <w:sz w:val="24"/>
          <w:szCs w:val="24"/>
          <w:lang w:val="en-US" w:eastAsia="zh-CN" w:bidi="ar-SA"/>
        </w:rPr>
        <w:t>0.8</w:t>
      </w:r>
      <w:r>
        <w:rPr>
          <w:rFonts w:hint="eastAsia" w:ascii="Times New Roman" w:hAnsi="Times New Roman" w:eastAsia="宋体" w:cs="Times New Roman"/>
          <w:color w:val="auto"/>
          <w:kern w:val="2"/>
          <w:sz w:val="24"/>
          <w:szCs w:val="24"/>
          <w:lang w:val="en-US" w:eastAsia="zh-CN" w:bidi="ar-SA"/>
        </w:rPr>
        <w:t>m。</w:t>
      </w:r>
    </w:p>
    <w:p>
      <w:pPr>
        <w:pStyle w:val="6"/>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2）生态护坡设计工程：</w:t>
      </w:r>
      <w:r>
        <w:rPr>
          <w:rFonts w:hint="eastAsia" w:eastAsia="宋体" w:cs="Times New Roman"/>
          <w:color w:val="auto"/>
          <w:sz w:val="24"/>
          <w:szCs w:val="24"/>
          <w:lang w:val="en-US" w:eastAsia="zh-CN"/>
        </w:rPr>
        <w:t>向阳渠护坡1381m，长艳湖电排渠护坡1027m，五七渠护坡护坡1431m，牛氏湖护坡(牛角尖段)1141m，牛氏湖护坡(十三刀段）Ⅰ型3条，长2495m，牛氏湖护坡(十三刀段）Ⅱ型1条，长805m</w:t>
      </w:r>
      <w:r>
        <w:rPr>
          <w:rFonts w:hint="eastAsia" w:ascii="Times New Roman" w:hAnsi="Times New Roman" w:eastAsia="宋体" w:cs="Times New Roman"/>
          <w:color w:val="auto"/>
          <w:kern w:val="2"/>
          <w:sz w:val="24"/>
          <w:szCs w:val="24"/>
          <w:lang w:val="en-US" w:eastAsia="zh-CN" w:bidi="ar-SA"/>
        </w:rPr>
        <w:t>。</w:t>
      </w:r>
    </w:p>
    <w:p>
      <w:pPr>
        <w:pStyle w:val="4"/>
        <w:bidi w:val="0"/>
        <w:ind w:left="0" w:leftChars="0" w:firstLine="0" w:firstLineChars="0"/>
        <w:outlineLvl w:val="2"/>
        <w:rPr>
          <w:rFonts w:hint="default" w:ascii="Times New Roman" w:hAnsi="Times New Roman" w:eastAsia="宋体" w:cs="Times New Roman"/>
          <w:color w:val="auto"/>
        </w:rPr>
      </w:pPr>
      <w:bookmarkStart w:id="115" w:name="_Toc20612"/>
      <w:bookmarkStart w:id="116" w:name="_Toc28844"/>
      <w:bookmarkStart w:id="117" w:name="_Toc22087"/>
      <w:bookmarkStart w:id="118" w:name="_Toc444846955"/>
      <w:r>
        <w:rPr>
          <w:rFonts w:hint="eastAsia" w:cs="Times New Roman"/>
          <w:color w:val="auto"/>
          <w:lang w:val="en-US" w:eastAsia="zh-CN"/>
        </w:rPr>
        <w:t>7.</w:t>
      </w:r>
      <w:r>
        <w:rPr>
          <w:rFonts w:hint="default" w:ascii="Times New Roman" w:hAnsi="Times New Roman" w:eastAsia="宋体" w:cs="Times New Roman"/>
          <w:color w:val="auto"/>
        </w:rPr>
        <w:t>1.</w:t>
      </w:r>
      <w:r>
        <w:rPr>
          <w:rFonts w:hint="eastAsia" w:cs="Times New Roman"/>
          <w:color w:val="auto"/>
          <w:lang w:val="en-US" w:eastAsia="zh-CN"/>
        </w:rPr>
        <w:t>2</w:t>
      </w:r>
      <w:r>
        <w:rPr>
          <w:rFonts w:hint="default" w:ascii="Times New Roman" w:hAnsi="Times New Roman" w:eastAsia="宋体" w:cs="Times New Roman"/>
          <w:color w:val="auto"/>
          <w:lang w:eastAsia="zh-CN"/>
        </w:rPr>
        <w:t>预算</w:t>
      </w:r>
      <w:r>
        <w:rPr>
          <w:rFonts w:hint="default" w:ascii="Times New Roman" w:hAnsi="Times New Roman" w:eastAsia="宋体" w:cs="Times New Roman"/>
          <w:color w:val="auto"/>
        </w:rPr>
        <w:t>原则和依据</w:t>
      </w:r>
      <w:bookmarkEnd w:id="115"/>
    </w:p>
    <w:p>
      <w:pPr>
        <w:keepNext w:val="0"/>
        <w:keepLines w:val="0"/>
        <w:pageBreakBefore w:val="0"/>
        <w:widowControl w:val="0"/>
        <w:wordWrap/>
        <w:topLinePunct w:val="0"/>
        <w:bidi w:val="0"/>
        <w:spacing w:line="360" w:lineRule="auto"/>
        <w:ind w:left="0" w:firstLine="480" w:firstLineChars="200"/>
        <w:jc w:val="left"/>
        <w:textAlignment w:val="auto"/>
        <w:rPr>
          <w:rFonts w:hint="default" w:ascii="Times New Roman" w:hAnsi="Times New Roman" w:eastAsia="宋体" w:cs="Times New Roman"/>
          <w:color w:val="auto"/>
          <w:sz w:val="24"/>
          <w:szCs w:val="24"/>
          <w:lang w:eastAsia="zh-CN"/>
        </w:rPr>
      </w:pPr>
      <w:bookmarkStart w:id="119" w:name="_Toc20499"/>
      <w:r>
        <w:rPr>
          <w:rFonts w:hint="default" w:ascii="Times New Roman" w:hAnsi="Times New Roman" w:eastAsia="宋体" w:cs="Times New Roman"/>
          <w:color w:val="auto"/>
          <w:sz w:val="24"/>
          <w:szCs w:val="24"/>
          <w:lang w:eastAsia="zh-CN"/>
        </w:rPr>
        <w:t>（1）《水利水电工程设计工程量计算规定》(SL328-2005)；</w:t>
      </w:r>
    </w:p>
    <w:p>
      <w:pPr>
        <w:keepNext w:val="0"/>
        <w:keepLines w:val="0"/>
        <w:pageBreakBefore w:val="0"/>
        <w:widowControl w:val="0"/>
        <w:wordWrap/>
        <w:topLinePunct w:val="0"/>
        <w:bidi w:val="0"/>
        <w:spacing w:line="360" w:lineRule="auto"/>
        <w:ind w:left="0"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（2）《湖南省水利厅关于发布&lt;湖南省水利水电工程设计概（估）算编制规定》(湘水建管[2015]130号)；</w:t>
      </w:r>
    </w:p>
    <w:p>
      <w:pPr>
        <w:keepNext w:val="0"/>
        <w:keepLines w:val="0"/>
        <w:pageBreakBefore w:val="0"/>
        <w:widowControl w:val="0"/>
        <w:wordWrap/>
        <w:topLinePunct w:val="0"/>
        <w:bidi w:val="0"/>
        <w:spacing w:line="360" w:lineRule="auto"/>
        <w:ind w:left="0"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（3）《湖南省水利水电建筑工程预算定额》（2015版）、《湖南省水利水电设备安装工程预算定额》（2015版）、《湖南省水利水电工程施工机械台时费定额》（2015版）；</w:t>
      </w:r>
    </w:p>
    <w:p>
      <w:pPr>
        <w:keepNext w:val="0"/>
        <w:keepLines w:val="0"/>
        <w:pageBreakBefore w:val="0"/>
        <w:widowControl w:val="0"/>
        <w:wordWrap/>
        <w:topLinePunct w:val="0"/>
        <w:bidi w:val="0"/>
        <w:spacing w:line="360" w:lineRule="auto"/>
        <w:ind w:left="0"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（4）借用定额：《</w:t>
      </w:r>
      <w:r>
        <w:rPr>
          <w:rFonts w:hint="eastAsia" w:cs="Times New Roman"/>
          <w:color w:val="auto"/>
          <w:sz w:val="24"/>
          <w:szCs w:val="24"/>
          <w:highlight w:val="none"/>
          <w:lang w:eastAsia="zh-CN"/>
        </w:rPr>
        <w:t>湖南</w:t>
      </w:r>
      <w:r>
        <w:rPr>
          <w:rFonts w:hint="eastAsia" w:cs="Times New Roman"/>
          <w:color w:val="auto"/>
          <w:sz w:val="24"/>
          <w:szCs w:val="24"/>
          <w:highlight w:val="none"/>
          <w:lang w:val="en-US" w:eastAsia="zh-CN"/>
        </w:rPr>
        <w:t>2014土地开发整理预算补充定额</w:t>
      </w:r>
      <w:r>
        <w:rPr>
          <w:rFonts w:hint="default" w:ascii="Times New Roman" w:hAnsi="Times New Roman" w:eastAsia="宋体" w:cs="Times New Roman"/>
          <w:color w:val="auto"/>
          <w:sz w:val="24"/>
          <w:szCs w:val="24"/>
          <w:highlight w:val="none"/>
          <w:lang w:eastAsia="zh-CN"/>
        </w:rPr>
        <w:t>》；</w:t>
      </w:r>
    </w:p>
    <w:p>
      <w:pPr>
        <w:keepNext w:val="0"/>
        <w:keepLines w:val="0"/>
        <w:pageBreakBefore w:val="0"/>
        <w:widowControl w:val="0"/>
        <w:wordWrap/>
        <w:topLinePunct w:val="0"/>
        <w:bidi w:val="0"/>
        <w:spacing w:line="360" w:lineRule="auto"/>
        <w:ind w:left="0" w:firstLine="480" w:firstLineChars="200"/>
        <w:jc w:val="left"/>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highlight w:val="none"/>
          <w:lang w:eastAsia="zh-CN"/>
        </w:rPr>
        <w:t>（5）湖南省水利厅关于印发《湖南省水利水电工程调整计价依据增</w:t>
      </w:r>
      <w:r>
        <w:rPr>
          <w:rFonts w:hint="default" w:ascii="Times New Roman" w:hAnsi="Times New Roman" w:eastAsia="宋体" w:cs="Times New Roman"/>
          <w:color w:val="auto"/>
          <w:sz w:val="24"/>
          <w:szCs w:val="24"/>
          <w:lang w:eastAsia="zh-CN"/>
        </w:rPr>
        <w:t>值税计算标准》（湘水发〔2019〕6号）；</w:t>
      </w:r>
    </w:p>
    <w:p>
      <w:pPr>
        <w:keepNext w:val="0"/>
        <w:keepLines w:val="0"/>
        <w:pageBreakBefore w:val="0"/>
        <w:widowControl w:val="0"/>
        <w:wordWrap/>
        <w:topLinePunct w:val="0"/>
        <w:bidi w:val="0"/>
        <w:spacing w:line="360" w:lineRule="auto"/>
        <w:ind w:left="0"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lang w:eastAsia="zh-CN"/>
        </w:rPr>
        <w:t>关于发布二〇二三年五、六月份材料预算价格的通知》</w:t>
      </w:r>
      <w:r>
        <w:rPr>
          <w:rFonts w:hint="default" w:ascii="Times New Roman" w:hAnsi="Times New Roman" w:eastAsia="宋体" w:cs="Times New Roman"/>
          <w:color w:val="auto"/>
          <w:sz w:val="24"/>
          <w:szCs w:val="24"/>
          <w:highlight w:val="none"/>
          <w:lang w:eastAsia="zh-CN"/>
        </w:rPr>
        <w:t>；</w:t>
      </w:r>
    </w:p>
    <w:p>
      <w:pPr>
        <w:keepNext w:val="0"/>
        <w:keepLines w:val="0"/>
        <w:pageBreakBefore w:val="0"/>
        <w:widowControl w:val="0"/>
        <w:wordWrap/>
        <w:topLinePunct w:val="0"/>
        <w:bidi w:val="0"/>
        <w:spacing w:line="360" w:lineRule="auto"/>
        <w:ind w:left="0" w:firstLine="480" w:firstLineChars="200"/>
        <w:jc w:val="left"/>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w:t>
      </w:r>
      <w:r>
        <w:rPr>
          <w:rFonts w:hint="eastAsia" w:cs="Times New Roman"/>
          <w:color w:val="auto"/>
          <w:sz w:val="24"/>
          <w:szCs w:val="24"/>
          <w:lang w:val="en-US" w:eastAsia="zh-CN"/>
        </w:rPr>
        <w:t>7</w:t>
      </w:r>
      <w:r>
        <w:rPr>
          <w:rFonts w:hint="default" w:ascii="Times New Roman" w:hAnsi="Times New Roman" w:eastAsia="宋体" w:cs="Times New Roman"/>
          <w:color w:val="auto"/>
          <w:sz w:val="24"/>
          <w:szCs w:val="24"/>
          <w:lang w:eastAsia="zh-CN"/>
        </w:rPr>
        <w:t>）项目设计图纸、工程量清单和设计说明等。</w:t>
      </w:r>
    </w:p>
    <w:bookmarkEnd w:id="119"/>
    <w:p>
      <w:pPr>
        <w:pStyle w:val="3"/>
        <w:bidi w:val="0"/>
        <w:outlineLvl w:val="1"/>
        <w:rPr>
          <w:rFonts w:hint="default"/>
          <w:color w:val="auto"/>
          <w:highlight w:val="none"/>
        </w:rPr>
      </w:pPr>
      <w:bookmarkStart w:id="120" w:name="_Toc9992"/>
      <w:r>
        <w:rPr>
          <w:rFonts w:hint="eastAsia"/>
          <w:color w:val="auto"/>
          <w:highlight w:val="none"/>
          <w:lang w:val="en-US" w:eastAsia="zh-CN"/>
        </w:rPr>
        <w:t>7.</w:t>
      </w:r>
      <w:r>
        <w:rPr>
          <w:rFonts w:hint="default"/>
          <w:color w:val="auto"/>
          <w:highlight w:val="none"/>
        </w:rPr>
        <w:t>2投资</w:t>
      </w:r>
      <w:r>
        <w:rPr>
          <w:rFonts w:hint="default"/>
          <w:color w:val="auto"/>
          <w:highlight w:val="none"/>
          <w:lang w:eastAsia="zh-CN"/>
        </w:rPr>
        <w:t>预</w:t>
      </w:r>
      <w:r>
        <w:rPr>
          <w:rFonts w:hint="default"/>
          <w:color w:val="auto"/>
          <w:highlight w:val="none"/>
        </w:rPr>
        <w:t>算</w:t>
      </w:r>
      <w:bookmarkEnd w:id="116"/>
      <w:bookmarkEnd w:id="117"/>
      <w:bookmarkEnd w:id="118"/>
      <w:bookmarkEnd w:id="120"/>
    </w:p>
    <w:p>
      <w:pPr>
        <w:keepNext w:val="0"/>
        <w:keepLines w:val="0"/>
        <w:pageBreakBefore w:val="0"/>
        <w:widowControl w:val="0"/>
        <w:wordWrap/>
        <w:topLinePunct w:val="0"/>
        <w:bidi w:val="0"/>
        <w:spacing w:line="360" w:lineRule="auto"/>
        <w:ind w:left="0" w:firstLine="480" w:firstLineChars="200"/>
        <w:jc w:val="left"/>
        <w:textAlignment w:val="auto"/>
        <w:rPr>
          <w:rFonts w:hint="default" w:ascii="Times New Roman" w:hAnsi="Times New Roman" w:eastAsia="宋体" w:cs="Times New Roman"/>
          <w:color w:val="auto"/>
          <w:sz w:val="24"/>
          <w:szCs w:val="24"/>
          <w:lang w:eastAsia="zh-CN"/>
        </w:rPr>
      </w:pPr>
      <w:bookmarkStart w:id="121" w:name="_Toc26725"/>
      <w:bookmarkStart w:id="122" w:name="_Toc18629"/>
      <w:r>
        <w:rPr>
          <w:rFonts w:hint="default" w:ascii="Times New Roman" w:hAnsi="Times New Roman" w:eastAsia="宋体" w:cs="Times New Roman"/>
          <w:color w:val="auto"/>
          <w:sz w:val="24"/>
          <w:szCs w:val="24"/>
          <w:highlight w:val="none"/>
          <w:lang w:eastAsia="zh-CN"/>
        </w:rPr>
        <w:t>完成本工程需总投资1</w:t>
      </w:r>
      <w:r>
        <w:rPr>
          <w:rFonts w:hint="eastAsia" w:cs="Times New Roman"/>
          <w:color w:val="auto"/>
          <w:sz w:val="24"/>
          <w:szCs w:val="24"/>
          <w:highlight w:val="none"/>
          <w:lang w:val="en-US" w:eastAsia="zh-CN"/>
        </w:rPr>
        <w:t>034.25</w:t>
      </w:r>
      <w:r>
        <w:rPr>
          <w:rFonts w:hint="default" w:ascii="Times New Roman" w:hAnsi="Times New Roman" w:eastAsia="宋体" w:cs="Times New Roman"/>
          <w:color w:val="auto"/>
          <w:sz w:val="24"/>
          <w:szCs w:val="24"/>
          <w:highlight w:val="none"/>
          <w:lang w:eastAsia="zh-CN"/>
        </w:rPr>
        <w:t>万元，其中：建</w:t>
      </w:r>
      <w:r>
        <w:rPr>
          <w:rFonts w:hint="eastAsia" w:cs="Times New Roman"/>
          <w:color w:val="auto"/>
          <w:sz w:val="24"/>
          <w:szCs w:val="24"/>
          <w:highlight w:val="none"/>
          <w:lang w:eastAsia="zh-CN"/>
        </w:rPr>
        <w:t>安</w:t>
      </w:r>
      <w:r>
        <w:rPr>
          <w:rFonts w:hint="default" w:ascii="Times New Roman" w:hAnsi="Times New Roman" w:eastAsia="宋体" w:cs="Times New Roman"/>
          <w:color w:val="auto"/>
          <w:sz w:val="24"/>
          <w:szCs w:val="24"/>
          <w:highlight w:val="none"/>
          <w:lang w:eastAsia="zh-CN"/>
        </w:rPr>
        <w:t>工程</w:t>
      </w:r>
      <w:r>
        <w:rPr>
          <w:rFonts w:hint="eastAsia" w:cs="Times New Roman"/>
          <w:color w:val="auto"/>
          <w:sz w:val="24"/>
          <w:szCs w:val="24"/>
          <w:highlight w:val="none"/>
          <w:lang w:eastAsia="zh-CN"/>
        </w:rPr>
        <w:t>费</w:t>
      </w:r>
      <w:r>
        <w:rPr>
          <w:rFonts w:hint="eastAsia" w:cs="Times New Roman"/>
          <w:color w:val="auto"/>
          <w:sz w:val="24"/>
          <w:szCs w:val="24"/>
          <w:highlight w:val="none"/>
          <w:lang w:val="en-US" w:eastAsia="zh-CN"/>
        </w:rPr>
        <w:t>922.55</w:t>
      </w:r>
      <w:r>
        <w:rPr>
          <w:rFonts w:hint="default" w:ascii="Times New Roman" w:hAnsi="Times New Roman" w:eastAsia="宋体" w:cs="Times New Roman"/>
          <w:color w:val="auto"/>
          <w:sz w:val="24"/>
          <w:szCs w:val="24"/>
          <w:highlight w:val="none"/>
          <w:lang w:eastAsia="zh-CN"/>
        </w:rPr>
        <w:t>万元，占总投资的</w:t>
      </w:r>
      <w:r>
        <w:rPr>
          <w:rFonts w:hint="eastAsia" w:cs="Times New Roman"/>
          <w:color w:val="auto"/>
          <w:sz w:val="24"/>
          <w:szCs w:val="24"/>
          <w:highlight w:val="none"/>
          <w:lang w:val="en-US" w:eastAsia="zh-CN"/>
        </w:rPr>
        <w:t>89.20</w:t>
      </w:r>
      <w:r>
        <w:rPr>
          <w:rFonts w:hint="default" w:ascii="Times New Roman" w:hAnsi="Times New Roman" w:eastAsia="宋体" w:cs="Times New Roman"/>
          <w:color w:val="auto"/>
          <w:sz w:val="24"/>
          <w:szCs w:val="24"/>
          <w:highlight w:val="none"/>
          <w:lang w:eastAsia="zh-CN"/>
        </w:rPr>
        <w:t>%，独立费用</w:t>
      </w:r>
      <w:r>
        <w:rPr>
          <w:rFonts w:hint="eastAsia" w:cs="Times New Roman"/>
          <w:color w:val="auto"/>
          <w:sz w:val="24"/>
          <w:szCs w:val="24"/>
          <w:highlight w:val="none"/>
          <w:lang w:val="en-US" w:eastAsia="zh-CN"/>
        </w:rPr>
        <w:t>65.15</w:t>
      </w:r>
      <w:r>
        <w:rPr>
          <w:rFonts w:hint="default" w:ascii="Times New Roman" w:hAnsi="Times New Roman" w:eastAsia="宋体" w:cs="Times New Roman"/>
          <w:color w:val="auto"/>
          <w:sz w:val="24"/>
          <w:szCs w:val="24"/>
          <w:highlight w:val="none"/>
          <w:lang w:eastAsia="zh-CN"/>
        </w:rPr>
        <w:t>万元，占总投资的</w:t>
      </w:r>
      <w:r>
        <w:rPr>
          <w:rFonts w:hint="eastAsia" w:cs="Times New Roman"/>
          <w:color w:val="auto"/>
          <w:sz w:val="24"/>
          <w:szCs w:val="24"/>
          <w:highlight w:val="none"/>
          <w:lang w:val="en-US" w:eastAsia="zh-CN"/>
        </w:rPr>
        <w:t>6.30</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eastAsia="zh-CN"/>
        </w:rPr>
        <w:t>基本预备费4</w:t>
      </w:r>
      <w:r>
        <w:rPr>
          <w:rFonts w:hint="eastAsia"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lang w:val="en-US" w:eastAsia="zh-CN"/>
        </w:rPr>
        <w:t>55</w:t>
      </w:r>
      <w:r>
        <w:rPr>
          <w:rFonts w:hint="default" w:ascii="Times New Roman" w:hAnsi="Times New Roman" w:eastAsia="宋体" w:cs="Times New Roman"/>
          <w:color w:val="auto"/>
          <w:sz w:val="24"/>
          <w:szCs w:val="24"/>
          <w:highlight w:val="none"/>
          <w:lang w:eastAsia="zh-CN"/>
        </w:rPr>
        <w:t>万元，占总投资的4.</w:t>
      </w:r>
      <w:r>
        <w:rPr>
          <w:rFonts w:hint="eastAsia" w:cs="Times New Roman"/>
          <w:color w:val="auto"/>
          <w:sz w:val="24"/>
          <w:szCs w:val="24"/>
          <w:highlight w:val="none"/>
          <w:lang w:val="en-US" w:eastAsia="zh-CN"/>
        </w:rPr>
        <w:t>50</w:t>
      </w:r>
      <w:r>
        <w:rPr>
          <w:rFonts w:hint="default" w:ascii="Times New Roman" w:hAnsi="Times New Roman" w:eastAsia="宋体" w:cs="Times New Roman"/>
          <w:color w:val="auto"/>
          <w:sz w:val="24"/>
          <w:szCs w:val="24"/>
          <w:highlight w:val="none"/>
          <w:lang w:eastAsia="zh-CN"/>
        </w:rPr>
        <w:t>%。</w:t>
      </w:r>
    </w:p>
    <w:p>
      <w:pPr>
        <w:pStyle w:val="3"/>
        <w:bidi w:val="0"/>
        <w:outlineLvl w:val="1"/>
        <w:rPr>
          <w:rFonts w:hint="default"/>
          <w:color w:val="auto"/>
          <w:highlight w:val="none"/>
        </w:rPr>
      </w:pPr>
      <w:bookmarkStart w:id="123" w:name="_Toc22665"/>
      <w:r>
        <w:rPr>
          <w:rFonts w:hint="eastAsia"/>
          <w:color w:val="auto"/>
          <w:highlight w:val="none"/>
          <w:lang w:val="en-US" w:eastAsia="zh-CN"/>
        </w:rPr>
        <w:t>7.</w:t>
      </w:r>
      <w:r>
        <w:rPr>
          <w:rFonts w:hint="default"/>
          <w:color w:val="auto"/>
          <w:highlight w:val="none"/>
        </w:rPr>
        <w:t>3资金筹措方案</w:t>
      </w:r>
      <w:bookmarkEnd w:id="121"/>
      <w:bookmarkEnd w:id="122"/>
      <w:bookmarkEnd w:id="123"/>
    </w:p>
    <w:p>
      <w:pPr>
        <w:keepNext w:val="0"/>
        <w:keepLines w:val="0"/>
        <w:pageBreakBefore w:val="0"/>
        <w:widowControl w:val="0"/>
        <w:wordWrap/>
        <w:topLinePunct w:val="0"/>
        <w:bidi w:val="0"/>
        <w:spacing w:line="360" w:lineRule="auto"/>
        <w:ind w:left="0" w:firstLine="480" w:firstLineChars="200"/>
        <w:jc w:val="left"/>
        <w:textAlignment w:val="auto"/>
        <w:rPr>
          <w:color w:val="auto"/>
          <w:highlight w:val="none"/>
        </w:rPr>
      </w:pPr>
      <w:r>
        <w:rPr>
          <w:rFonts w:hint="default" w:ascii="Times New Roman" w:hAnsi="Times New Roman" w:eastAsia="宋体" w:cs="Times New Roman"/>
          <w:color w:val="auto"/>
          <w:sz w:val="24"/>
          <w:szCs w:val="24"/>
          <w:highlight w:val="none"/>
          <w:lang w:eastAsia="zh-CN"/>
        </w:rPr>
        <w:t>本项目总投资为1</w:t>
      </w:r>
      <w:r>
        <w:rPr>
          <w:rFonts w:hint="eastAsia" w:cs="Times New Roman"/>
          <w:color w:val="auto"/>
          <w:sz w:val="24"/>
          <w:szCs w:val="24"/>
          <w:highlight w:val="none"/>
          <w:lang w:val="en-US" w:eastAsia="zh-CN"/>
        </w:rPr>
        <w:t>034.25</w:t>
      </w:r>
      <w:r>
        <w:rPr>
          <w:rFonts w:hint="default" w:ascii="Times New Roman" w:hAnsi="Times New Roman" w:eastAsia="宋体" w:cs="Times New Roman"/>
          <w:color w:val="auto"/>
          <w:sz w:val="24"/>
          <w:szCs w:val="24"/>
          <w:highlight w:val="none"/>
          <w:lang w:eastAsia="zh-CN"/>
        </w:rPr>
        <w:t>万元，</w:t>
      </w:r>
      <w:r>
        <w:rPr>
          <w:rFonts w:hint="eastAsia" w:cs="Times New Roman"/>
          <w:color w:val="auto"/>
          <w:sz w:val="24"/>
          <w:szCs w:val="24"/>
          <w:highlight w:val="none"/>
          <w:lang w:val="en-US" w:eastAsia="zh-CN"/>
        </w:rPr>
        <w:t>全部为</w:t>
      </w:r>
      <w:r>
        <w:rPr>
          <w:rFonts w:hint="default" w:ascii="Times New Roman" w:hAnsi="Times New Roman" w:eastAsia="宋体" w:cs="Times New Roman"/>
          <w:color w:val="auto"/>
          <w:sz w:val="24"/>
          <w:szCs w:val="24"/>
          <w:highlight w:val="none"/>
          <w:lang w:eastAsia="zh-CN"/>
        </w:rPr>
        <w:t>财政资金。</w:t>
      </w:r>
    </w:p>
    <w:p>
      <w:pPr>
        <w:pStyle w:val="36"/>
        <w:bidi w:val="0"/>
        <w:jc w:val="both"/>
        <w:rPr>
          <w:rFonts w:hint="default"/>
          <w:color w:val="auto"/>
          <w:lang w:val="en-US" w:eastAsia="zh-CN"/>
        </w:rPr>
      </w:pPr>
    </w:p>
    <w:sectPr>
      <w:headerReference r:id="rId7" w:type="default"/>
      <w:footerReference r:id="rId8" w:type="default"/>
      <w:pgSz w:w="23757" w:h="16783" w:orient="landscape"/>
      <w:pgMar w:top="1440" w:right="1080" w:bottom="1440" w:left="1080" w:header="851" w:footer="992" w:gutter="0"/>
      <w:pgBorders>
        <w:top w:val="none" w:sz="0" w:space="0"/>
        <w:left w:val="none" w:sz="0" w:space="0"/>
        <w:bottom w:val="none" w:sz="0" w:space="0"/>
        <w:right w:val="none" w:sz="0" w:space="0"/>
      </w:pgBorders>
      <w:pgNumType w:fmt="decimal"/>
      <w:cols w:space="907" w:num="2"/>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Style w:val="26"/>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110</w:t>
                    </w:r>
                    <w:r>
                      <w:fldChar w:fldCharType="end"/>
                    </w:r>
                  </w:p>
                </w:txbxContent>
              </v:textbox>
            </v:shape>
          </w:pict>
        </mc:Fallback>
      </mc:AlternateContent>
    </w:r>
  </w:p>
  <w:p>
    <w:pPr>
      <w:pStyle w:val="15"/>
      <w:ind w:right="310" w:rightChars="129" w:firstLine="360"/>
      <w:jc w:val="cente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ind w:right="310" w:rightChars="129" w:firstLine="360"/>
                            <w:jc w:val="center"/>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5"/>
                      <w:ind w:right="310" w:rightChars="129" w:firstLine="360"/>
                      <w:jc w:val="center"/>
                      <w:rPr>
                        <w:rFonts w:hint="eastAsia"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161</w:t>
                    </w:r>
                    <w:r>
                      <w:fldChar w:fldCharType="end"/>
                    </w:r>
                  </w:p>
                </w:txbxContent>
              </v:textbox>
            </v:shape>
          </w:pict>
        </mc:Fallback>
      </mc:AlternateContent>
    </w:r>
  </w:p>
  <w:p>
    <w:pPr>
      <w:ind w:right="310" w:rightChars="129" w:firstLine="420"/>
      <w:jc w:val="center"/>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right="310" w:rightChars="129" w:firstLine="420"/>
                            <w:jc w:val="center"/>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ind w:right="310" w:rightChars="129" w:firstLine="420"/>
                      <w:jc w:val="center"/>
                      <w:rPr>
                        <w:rFonts w:hint="eastAsia" w:eastAsia="宋体"/>
                        <w:lang w:eastAsia="zh-CN"/>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keepNext w:val="0"/>
      <w:keepLines w:val="0"/>
      <w:pageBreakBefore w:val="0"/>
      <w:widowControl w:val="0"/>
      <w:pBdr>
        <w:bottom w:val="single" w:color="auto" w:sz="4" w:space="1"/>
      </w:pBdr>
      <w:kinsoku/>
      <w:wordWrap/>
      <w:overflowPunct/>
      <w:topLinePunct w:val="0"/>
      <w:bidi w:val="0"/>
      <w:adjustRightInd w:val="0"/>
      <w:snapToGrid w:val="0"/>
      <w:spacing w:line="320" w:lineRule="exact"/>
      <w:jc w:val="right"/>
      <w:textAlignment w:val="auto"/>
      <w:rPr>
        <w:rFonts w:hint="eastAsia" w:eastAsia="华文中宋"/>
        <w:b/>
        <w:bCs/>
        <w:sz w:val="21"/>
        <w:lang w:eastAsia="zh-CN"/>
      </w:rPr>
    </w:pPr>
    <w:r>
      <w:rPr>
        <w:rFonts w:hint="eastAsia" w:eastAsia="黑体"/>
        <w:sz w:val="24"/>
        <w:szCs w:val="24"/>
        <w:lang w:eastAsia="zh-CN"/>
      </w:rPr>
      <w:t>华容县牛氏湖流域（十三刀村-牛角尖村段）水环境综合治理（一期）工程初步设计方案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keepNext w:val="0"/>
      <w:keepLines w:val="0"/>
      <w:pageBreakBefore w:val="0"/>
      <w:widowControl w:val="0"/>
      <w:pBdr>
        <w:bottom w:val="single" w:color="auto" w:sz="4" w:space="1"/>
      </w:pBdr>
      <w:kinsoku/>
      <w:wordWrap/>
      <w:overflowPunct/>
      <w:topLinePunct w:val="0"/>
      <w:bidi w:val="0"/>
      <w:adjustRightInd w:val="0"/>
      <w:snapToGrid w:val="0"/>
      <w:spacing w:line="320" w:lineRule="exact"/>
      <w:jc w:val="right"/>
      <w:textAlignment w:val="auto"/>
      <w:rPr>
        <w:rFonts w:eastAsia="黑体"/>
        <w:sz w:val="24"/>
        <w:szCs w:val="24"/>
      </w:rPr>
    </w:pPr>
    <w:r>
      <w:rPr>
        <w:rFonts w:hint="eastAsia" w:eastAsia="黑体"/>
        <w:sz w:val="24"/>
        <w:szCs w:val="24"/>
        <w:lang w:eastAsia="zh-CN"/>
      </w:rPr>
      <w:t>华容县牛氏湖流域（十三刀村-牛角尖村段）水环境综合治理（一期）工程初步设计方案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3322F"/>
    <w:multiLevelType w:val="multilevel"/>
    <w:tmpl w:val="3BE3322F"/>
    <w:lvl w:ilvl="0" w:tentative="0">
      <w:start w:val="1"/>
      <w:numFmt w:val="decimal"/>
      <w:pStyle w:val="65"/>
      <w:lvlText w:val="%1、"/>
      <w:lvlJc w:val="left"/>
      <w:pPr>
        <w:ind w:left="0" w:firstLine="0"/>
      </w:pPr>
      <w:rPr>
        <w:rFonts w:hint="default" w:ascii="Times New Roman" w:hAnsi="Times New Roman" w:eastAsia="宋体"/>
        <w:kern w:val="24"/>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D3C66FC"/>
    <w:multiLevelType w:val="multilevel"/>
    <w:tmpl w:val="3D3C66FC"/>
    <w:lvl w:ilvl="0" w:tentative="0">
      <w:start w:val="1"/>
      <w:numFmt w:val="upperRoman"/>
      <w:pStyle w:val="74"/>
      <w:lvlText w:val="（%1）"/>
      <w:lvlJc w:val="left"/>
      <w:pPr>
        <w:ind w:left="0" w:firstLine="0"/>
      </w:pPr>
      <w:rPr>
        <w:rFonts w:hint="default" w:ascii="Times New Roman" w:hAnsi="Times New Roman" w:eastAsia="宋体"/>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7C69A4"/>
    <w:multiLevelType w:val="multilevel"/>
    <w:tmpl w:val="497C69A4"/>
    <w:lvl w:ilvl="0" w:tentative="0">
      <w:start w:val="1"/>
      <w:numFmt w:val="decimal"/>
      <w:pStyle w:val="86"/>
      <w:lvlText w:val="%1）"/>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3">
    <w:nsid w:val="4A11E4E3"/>
    <w:multiLevelType w:val="singleLevel"/>
    <w:tmpl w:val="4A11E4E3"/>
    <w:lvl w:ilvl="0" w:tentative="0">
      <w:start w:val="1"/>
      <w:numFmt w:val="decimal"/>
      <w:suff w:val="nothing"/>
      <w:lvlText w:val="（%1）"/>
      <w:lvlJc w:val="left"/>
    </w:lvl>
  </w:abstractNum>
  <w:abstractNum w:abstractNumId="4">
    <w:nsid w:val="5FB5779B"/>
    <w:multiLevelType w:val="multilevel"/>
    <w:tmpl w:val="5FB5779B"/>
    <w:lvl w:ilvl="0" w:tentative="0">
      <w:start w:val="1"/>
      <w:numFmt w:val="decimal"/>
      <w:pStyle w:val="72"/>
      <w:lvlText w:val="（%1）"/>
      <w:lvlJc w:val="left"/>
      <w:pPr>
        <w:ind w:left="0" w:firstLine="0"/>
      </w:pPr>
      <w:rPr>
        <w:rFonts w:hint="default" w:ascii="Times New Roman" w:hAnsi="Times New Roman" w:eastAsia="宋体"/>
        <w:kern w:val="24"/>
        <w:sz w:val="24"/>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MGMwNTVjODNhMzYxNTRiNGEyMmQ5YTc3OWY0MzUifQ=="/>
  </w:docVars>
  <w:rsids>
    <w:rsidRoot w:val="00172A27"/>
    <w:rsid w:val="00213CF6"/>
    <w:rsid w:val="006F2CB8"/>
    <w:rsid w:val="008B6705"/>
    <w:rsid w:val="009C18E3"/>
    <w:rsid w:val="00B345B0"/>
    <w:rsid w:val="00CC180B"/>
    <w:rsid w:val="00CF5CD3"/>
    <w:rsid w:val="00D40D69"/>
    <w:rsid w:val="011A13F0"/>
    <w:rsid w:val="01227D26"/>
    <w:rsid w:val="0145553C"/>
    <w:rsid w:val="01485D3E"/>
    <w:rsid w:val="01543C57"/>
    <w:rsid w:val="01D66E09"/>
    <w:rsid w:val="024C10B4"/>
    <w:rsid w:val="02511F45"/>
    <w:rsid w:val="028900DA"/>
    <w:rsid w:val="03384C66"/>
    <w:rsid w:val="034D1DD2"/>
    <w:rsid w:val="0350489F"/>
    <w:rsid w:val="038E214C"/>
    <w:rsid w:val="04071455"/>
    <w:rsid w:val="04222033"/>
    <w:rsid w:val="043841E4"/>
    <w:rsid w:val="043F75BF"/>
    <w:rsid w:val="04454FD0"/>
    <w:rsid w:val="04461933"/>
    <w:rsid w:val="04B11F7F"/>
    <w:rsid w:val="04CA529A"/>
    <w:rsid w:val="04CE1F73"/>
    <w:rsid w:val="050011E2"/>
    <w:rsid w:val="05116690"/>
    <w:rsid w:val="058B3CD5"/>
    <w:rsid w:val="059352BB"/>
    <w:rsid w:val="05C02CCB"/>
    <w:rsid w:val="05DE1D42"/>
    <w:rsid w:val="05DE4B7A"/>
    <w:rsid w:val="061E6CE7"/>
    <w:rsid w:val="06253E14"/>
    <w:rsid w:val="062C43C1"/>
    <w:rsid w:val="06345F65"/>
    <w:rsid w:val="06453062"/>
    <w:rsid w:val="06792050"/>
    <w:rsid w:val="067E60A0"/>
    <w:rsid w:val="069526CB"/>
    <w:rsid w:val="06FD3C7F"/>
    <w:rsid w:val="070D50C5"/>
    <w:rsid w:val="076F5FB6"/>
    <w:rsid w:val="07AC1CC7"/>
    <w:rsid w:val="07EA527B"/>
    <w:rsid w:val="082223BA"/>
    <w:rsid w:val="08255EDE"/>
    <w:rsid w:val="08BC0A60"/>
    <w:rsid w:val="08E639E7"/>
    <w:rsid w:val="08ED0459"/>
    <w:rsid w:val="09897B70"/>
    <w:rsid w:val="09945546"/>
    <w:rsid w:val="099B537D"/>
    <w:rsid w:val="0A216426"/>
    <w:rsid w:val="0A595C26"/>
    <w:rsid w:val="0A607598"/>
    <w:rsid w:val="0A674962"/>
    <w:rsid w:val="0A8D2B98"/>
    <w:rsid w:val="0AA91BF9"/>
    <w:rsid w:val="0ABE5E99"/>
    <w:rsid w:val="0AD52083"/>
    <w:rsid w:val="0AED7BBF"/>
    <w:rsid w:val="0B1A33B2"/>
    <w:rsid w:val="0B485967"/>
    <w:rsid w:val="0B4F5C39"/>
    <w:rsid w:val="0B667577"/>
    <w:rsid w:val="0B9B4814"/>
    <w:rsid w:val="0BBE3C72"/>
    <w:rsid w:val="0C2725C3"/>
    <w:rsid w:val="0C5315A4"/>
    <w:rsid w:val="0D091D9A"/>
    <w:rsid w:val="0D0D07BC"/>
    <w:rsid w:val="0D1E1CFD"/>
    <w:rsid w:val="0D4F3A04"/>
    <w:rsid w:val="0D573611"/>
    <w:rsid w:val="0D662C7A"/>
    <w:rsid w:val="0DA56486"/>
    <w:rsid w:val="0DA96C86"/>
    <w:rsid w:val="0DC354E7"/>
    <w:rsid w:val="0DC83326"/>
    <w:rsid w:val="0DFD2ABD"/>
    <w:rsid w:val="0E4917B5"/>
    <w:rsid w:val="0E606DC9"/>
    <w:rsid w:val="0EED2F01"/>
    <w:rsid w:val="0F237CA0"/>
    <w:rsid w:val="0F5F0397"/>
    <w:rsid w:val="0F5F135A"/>
    <w:rsid w:val="0F951586"/>
    <w:rsid w:val="0F9E6AA5"/>
    <w:rsid w:val="0FE40DC6"/>
    <w:rsid w:val="100F3B6B"/>
    <w:rsid w:val="10115FE8"/>
    <w:rsid w:val="10236F2D"/>
    <w:rsid w:val="108B528F"/>
    <w:rsid w:val="1090632E"/>
    <w:rsid w:val="10B97633"/>
    <w:rsid w:val="10F93882"/>
    <w:rsid w:val="1126163E"/>
    <w:rsid w:val="113413B0"/>
    <w:rsid w:val="117B05E4"/>
    <w:rsid w:val="11824FFC"/>
    <w:rsid w:val="12087E0E"/>
    <w:rsid w:val="12297C61"/>
    <w:rsid w:val="12576D9C"/>
    <w:rsid w:val="12AA36D7"/>
    <w:rsid w:val="12EC7953"/>
    <w:rsid w:val="12FC5EFD"/>
    <w:rsid w:val="13057628"/>
    <w:rsid w:val="13610D30"/>
    <w:rsid w:val="1382238A"/>
    <w:rsid w:val="14143273"/>
    <w:rsid w:val="14324392"/>
    <w:rsid w:val="14D14B39"/>
    <w:rsid w:val="14EB0087"/>
    <w:rsid w:val="152D53D3"/>
    <w:rsid w:val="155245DD"/>
    <w:rsid w:val="15C03CEB"/>
    <w:rsid w:val="15D33BA9"/>
    <w:rsid w:val="15F600CE"/>
    <w:rsid w:val="165D0F8A"/>
    <w:rsid w:val="166C76F9"/>
    <w:rsid w:val="16946B78"/>
    <w:rsid w:val="16BC6AD0"/>
    <w:rsid w:val="16BE50DB"/>
    <w:rsid w:val="16C71A0C"/>
    <w:rsid w:val="16CF51DE"/>
    <w:rsid w:val="17214C3C"/>
    <w:rsid w:val="173B6FF4"/>
    <w:rsid w:val="17521077"/>
    <w:rsid w:val="17683A86"/>
    <w:rsid w:val="17DD17C7"/>
    <w:rsid w:val="18D21BDA"/>
    <w:rsid w:val="193D0EEE"/>
    <w:rsid w:val="19D35962"/>
    <w:rsid w:val="19D674A8"/>
    <w:rsid w:val="19F15E05"/>
    <w:rsid w:val="1A147FD0"/>
    <w:rsid w:val="1A63309A"/>
    <w:rsid w:val="1A78090B"/>
    <w:rsid w:val="1A7C0117"/>
    <w:rsid w:val="1ACA16F6"/>
    <w:rsid w:val="1B011DD3"/>
    <w:rsid w:val="1B01527B"/>
    <w:rsid w:val="1B03489B"/>
    <w:rsid w:val="1B0C303C"/>
    <w:rsid w:val="1B107352"/>
    <w:rsid w:val="1B4C6F22"/>
    <w:rsid w:val="1B567F68"/>
    <w:rsid w:val="1B610FF3"/>
    <w:rsid w:val="1BBE6445"/>
    <w:rsid w:val="1BE76250"/>
    <w:rsid w:val="1BFB4FA4"/>
    <w:rsid w:val="1BFF1118"/>
    <w:rsid w:val="1C5252F7"/>
    <w:rsid w:val="1C817509"/>
    <w:rsid w:val="1C8732F2"/>
    <w:rsid w:val="1C940F54"/>
    <w:rsid w:val="1CAD0994"/>
    <w:rsid w:val="1D073FEB"/>
    <w:rsid w:val="1D21730E"/>
    <w:rsid w:val="1D3544E5"/>
    <w:rsid w:val="1D474107"/>
    <w:rsid w:val="1D476578"/>
    <w:rsid w:val="1DA36629"/>
    <w:rsid w:val="1DF9065E"/>
    <w:rsid w:val="1E033963"/>
    <w:rsid w:val="1E497DAB"/>
    <w:rsid w:val="1E57048B"/>
    <w:rsid w:val="1E761259"/>
    <w:rsid w:val="1E772C24"/>
    <w:rsid w:val="1E8D5C1B"/>
    <w:rsid w:val="1E926C47"/>
    <w:rsid w:val="1E9A7E24"/>
    <w:rsid w:val="1ED348E5"/>
    <w:rsid w:val="1F0816C0"/>
    <w:rsid w:val="1F677732"/>
    <w:rsid w:val="1FE30229"/>
    <w:rsid w:val="1FE648BE"/>
    <w:rsid w:val="1FFB1A12"/>
    <w:rsid w:val="20585917"/>
    <w:rsid w:val="20654262"/>
    <w:rsid w:val="210A1F65"/>
    <w:rsid w:val="216058A9"/>
    <w:rsid w:val="21E205C6"/>
    <w:rsid w:val="21F3350D"/>
    <w:rsid w:val="21F901D7"/>
    <w:rsid w:val="22685A14"/>
    <w:rsid w:val="22E20C84"/>
    <w:rsid w:val="234D6C10"/>
    <w:rsid w:val="23700257"/>
    <w:rsid w:val="237D4671"/>
    <w:rsid w:val="23A112CB"/>
    <w:rsid w:val="23A86B47"/>
    <w:rsid w:val="24245145"/>
    <w:rsid w:val="246B5A04"/>
    <w:rsid w:val="246F53D6"/>
    <w:rsid w:val="24B6423F"/>
    <w:rsid w:val="24CB12B1"/>
    <w:rsid w:val="25184D90"/>
    <w:rsid w:val="2571775A"/>
    <w:rsid w:val="25A16BBC"/>
    <w:rsid w:val="25B032A3"/>
    <w:rsid w:val="25EE56AB"/>
    <w:rsid w:val="260002EF"/>
    <w:rsid w:val="2606485E"/>
    <w:rsid w:val="26590D66"/>
    <w:rsid w:val="26682DF7"/>
    <w:rsid w:val="26991C7E"/>
    <w:rsid w:val="26BD3D6C"/>
    <w:rsid w:val="26C05745"/>
    <w:rsid w:val="26C50688"/>
    <w:rsid w:val="26ED55D1"/>
    <w:rsid w:val="26F56621"/>
    <w:rsid w:val="27120E12"/>
    <w:rsid w:val="27A04C51"/>
    <w:rsid w:val="27CB73C2"/>
    <w:rsid w:val="27FC155E"/>
    <w:rsid w:val="283B6393"/>
    <w:rsid w:val="287E4F92"/>
    <w:rsid w:val="28D025E7"/>
    <w:rsid w:val="28E63216"/>
    <w:rsid w:val="29311558"/>
    <w:rsid w:val="29474075"/>
    <w:rsid w:val="29802F8C"/>
    <w:rsid w:val="2A2F6092"/>
    <w:rsid w:val="2A4D721E"/>
    <w:rsid w:val="2A691C72"/>
    <w:rsid w:val="2AF0567F"/>
    <w:rsid w:val="2B0B1B06"/>
    <w:rsid w:val="2B4A7E65"/>
    <w:rsid w:val="2B9C3C6C"/>
    <w:rsid w:val="2C0251D4"/>
    <w:rsid w:val="2C247821"/>
    <w:rsid w:val="2C4E7C79"/>
    <w:rsid w:val="2C5E128F"/>
    <w:rsid w:val="2C8A2B42"/>
    <w:rsid w:val="2CF36C7D"/>
    <w:rsid w:val="2DC13C1B"/>
    <w:rsid w:val="2DCC7BC9"/>
    <w:rsid w:val="2E1D058C"/>
    <w:rsid w:val="2E273BA7"/>
    <w:rsid w:val="2E7D54B3"/>
    <w:rsid w:val="2EAC521F"/>
    <w:rsid w:val="2EFE7EBF"/>
    <w:rsid w:val="2F1D4E10"/>
    <w:rsid w:val="2F9B166F"/>
    <w:rsid w:val="2FA57539"/>
    <w:rsid w:val="2FB443FE"/>
    <w:rsid w:val="301213E6"/>
    <w:rsid w:val="302E0AEA"/>
    <w:rsid w:val="306C68BD"/>
    <w:rsid w:val="30BC6780"/>
    <w:rsid w:val="30E958BB"/>
    <w:rsid w:val="30EF5227"/>
    <w:rsid w:val="311475CD"/>
    <w:rsid w:val="31624A05"/>
    <w:rsid w:val="31D23767"/>
    <w:rsid w:val="31FB1E43"/>
    <w:rsid w:val="320D34AC"/>
    <w:rsid w:val="32184D49"/>
    <w:rsid w:val="321B1AA4"/>
    <w:rsid w:val="3229362E"/>
    <w:rsid w:val="32586EDC"/>
    <w:rsid w:val="328A43D8"/>
    <w:rsid w:val="32A1088E"/>
    <w:rsid w:val="32D54C78"/>
    <w:rsid w:val="32F576C9"/>
    <w:rsid w:val="32F865E0"/>
    <w:rsid w:val="330245F4"/>
    <w:rsid w:val="33364EE0"/>
    <w:rsid w:val="333A5929"/>
    <w:rsid w:val="334D189C"/>
    <w:rsid w:val="33675991"/>
    <w:rsid w:val="33A837DA"/>
    <w:rsid w:val="33B7171C"/>
    <w:rsid w:val="34303A42"/>
    <w:rsid w:val="345B7539"/>
    <w:rsid w:val="345C0FBB"/>
    <w:rsid w:val="34D05B0F"/>
    <w:rsid w:val="34ED4807"/>
    <w:rsid w:val="34F05EB2"/>
    <w:rsid w:val="350031FE"/>
    <w:rsid w:val="35126ACA"/>
    <w:rsid w:val="353C1473"/>
    <w:rsid w:val="353F5AA9"/>
    <w:rsid w:val="35473E26"/>
    <w:rsid w:val="35711DBF"/>
    <w:rsid w:val="35AB44D2"/>
    <w:rsid w:val="35E52B8F"/>
    <w:rsid w:val="35F121A7"/>
    <w:rsid w:val="36041049"/>
    <w:rsid w:val="362B04A5"/>
    <w:rsid w:val="362E7623"/>
    <w:rsid w:val="36460328"/>
    <w:rsid w:val="365B607F"/>
    <w:rsid w:val="368D327A"/>
    <w:rsid w:val="36B204FD"/>
    <w:rsid w:val="36C056DC"/>
    <w:rsid w:val="370535FE"/>
    <w:rsid w:val="378D1068"/>
    <w:rsid w:val="37FE47E6"/>
    <w:rsid w:val="383F1152"/>
    <w:rsid w:val="38594DB6"/>
    <w:rsid w:val="386177F0"/>
    <w:rsid w:val="38914080"/>
    <w:rsid w:val="389415F4"/>
    <w:rsid w:val="38982382"/>
    <w:rsid w:val="389D5108"/>
    <w:rsid w:val="389E1144"/>
    <w:rsid w:val="38A44FEB"/>
    <w:rsid w:val="38D54D41"/>
    <w:rsid w:val="3916127F"/>
    <w:rsid w:val="3928427A"/>
    <w:rsid w:val="39345DCC"/>
    <w:rsid w:val="396C7AA0"/>
    <w:rsid w:val="39754190"/>
    <w:rsid w:val="397E64D8"/>
    <w:rsid w:val="39F26607"/>
    <w:rsid w:val="39F72DF7"/>
    <w:rsid w:val="3A576A74"/>
    <w:rsid w:val="3AAA0E12"/>
    <w:rsid w:val="3B072E17"/>
    <w:rsid w:val="3B751397"/>
    <w:rsid w:val="3BAC5700"/>
    <w:rsid w:val="3BBB7D25"/>
    <w:rsid w:val="3BF87E39"/>
    <w:rsid w:val="3C056A22"/>
    <w:rsid w:val="3C200F32"/>
    <w:rsid w:val="3C2C4C92"/>
    <w:rsid w:val="3C4971CF"/>
    <w:rsid w:val="3CA628BD"/>
    <w:rsid w:val="3D2965BE"/>
    <w:rsid w:val="3D470EAF"/>
    <w:rsid w:val="3D7A74BA"/>
    <w:rsid w:val="3DCB6A74"/>
    <w:rsid w:val="3DCD52C7"/>
    <w:rsid w:val="3DD16375"/>
    <w:rsid w:val="3DED4B70"/>
    <w:rsid w:val="3E6124AC"/>
    <w:rsid w:val="3E81657C"/>
    <w:rsid w:val="3EA053DC"/>
    <w:rsid w:val="3EE34E1E"/>
    <w:rsid w:val="3EF34E15"/>
    <w:rsid w:val="3EF96989"/>
    <w:rsid w:val="3F2310EB"/>
    <w:rsid w:val="3F267B18"/>
    <w:rsid w:val="3F665173"/>
    <w:rsid w:val="3F865F00"/>
    <w:rsid w:val="3F9B2476"/>
    <w:rsid w:val="3F9B5372"/>
    <w:rsid w:val="3FB15DA9"/>
    <w:rsid w:val="400D59B2"/>
    <w:rsid w:val="40274F54"/>
    <w:rsid w:val="40733D8E"/>
    <w:rsid w:val="40C73900"/>
    <w:rsid w:val="40E51BFB"/>
    <w:rsid w:val="40E63BC5"/>
    <w:rsid w:val="417A45DA"/>
    <w:rsid w:val="419D0727"/>
    <w:rsid w:val="41C37380"/>
    <w:rsid w:val="41C77B4A"/>
    <w:rsid w:val="41FD057D"/>
    <w:rsid w:val="420A17A4"/>
    <w:rsid w:val="42103E3A"/>
    <w:rsid w:val="421D53C4"/>
    <w:rsid w:val="424E1A49"/>
    <w:rsid w:val="42B04F4D"/>
    <w:rsid w:val="42CC2D37"/>
    <w:rsid w:val="43280A08"/>
    <w:rsid w:val="43374100"/>
    <w:rsid w:val="439076CF"/>
    <w:rsid w:val="43A453A7"/>
    <w:rsid w:val="43C95804"/>
    <w:rsid w:val="43DB2CB7"/>
    <w:rsid w:val="44223166"/>
    <w:rsid w:val="44290A63"/>
    <w:rsid w:val="443E67FD"/>
    <w:rsid w:val="4469365D"/>
    <w:rsid w:val="44717173"/>
    <w:rsid w:val="448B2AB9"/>
    <w:rsid w:val="45280DEA"/>
    <w:rsid w:val="452F54B8"/>
    <w:rsid w:val="45640109"/>
    <w:rsid w:val="45684BA8"/>
    <w:rsid w:val="456B1ABD"/>
    <w:rsid w:val="45963D12"/>
    <w:rsid w:val="45AD5887"/>
    <w:rsid w:val="45B86075"/>
    <w:rsid w:val="45CA13BF"/>
    <w:rsid w:val="45D10C40"/>
    <w:rsid w:val="45E42607"/>
    <w:rsid w:val="45E94574"/>
    <w:rsid w:val="45F641DB"/>
    <w:rsid w:val="45F83E79"/>
    <w:rsid w:val="46266210"/>
    <w:rsid w:val="46294339"/>
    <w:rsid w:val="464F0CF0"/>
    <w:rsid w:val="466B1F8F"/>
    <w:rsid w:val="468772B0"/>
    <w:rsid w:val="46C17E01"/>
    <w:rsid w:val="46E47F7C"/>
    <w:rsid w:val="4710374A"/>
    <w:rsid w:val="47234C8C"/>
    <w:rsid w:val="476E221E"/>
    <w:rsid w:val="478163F5"/>
    <w:rsid w:val="47D74DCB"/>
    <w:rsid w:val="48A428DE"/>
    <w:rsid w:val="48AC2B3E"/>
    <w:rsid w:val="49602A95"/>
    <w:rsid w:val="4989749C"/>
    <w:rsid w:val="49A772EF"/>
    <w:rsid w:val="49BE748D"/>
    <w:rsid w:val="4A201EF6"/>
    <w:rsid w:val="4A222317"/>
    <w:rsid w:val="4A2D554B"/>
    <w:rsid w:val="4A67525B"/>
    <w:rsid w:val="4A776F1A"/>
    <w:rsid w:val="4AAB1E60"/>
    <w:rsid w:val="4AD76D63"/>
    <w:rsid w:val="4B054615"/>
    <w:rsid w:val="4B0F6AF6"/>
    <w:rsid w:val="4B3317B5"/>
    <w:rsid w:val="4B40346B"/>
    <w:rsid w:val="4B5C5466"/>
    <w:rsid w:val="4B9C2569"/>
    <w:rsid w:val="4C146360"/>
    <w:rsid w:val="4C7B4286"/>
    <w:rsid w:val="4CDC116D"/>
    <w:rsid w:val="4CF904F6"/>
    <w:rsid w:val="4D8F7FF7"/>
    <w:rsid w:val="4E2F0272"/>
    <w:rsid w:val="4E52289A"/>
    <w:rsid w:val="4ED7695C"/>
    <w:rsid w:val="4EFB578C"/>
    <w:rsid w:val="4F005E52"/>
    <w:rsid w:val="4F0B18A3"/>
    <w:rsid w:val="4F443C63"/>
    <w:rsid w:val="4F6427B1"/>
    <w:rsid w:val="4F711713"/>
    <w:rsid w:val="4F7A7231"/>
    <w:rsid w:val="4F8177E3"/>
    <w:rsid w:val="4FE365DE"/>
    <w:rsid w:val="4FE47D8F"/>
    <w:rsid w:val="4FF733CD"/>
    <w:rsid w:val="4FFB150F"/>
    <w:rsid w:val="50067498"/>
    <w:rsid w:val="50246BD6"/>
    <w:rsid w:val="5031708C"/>
    <w:rsid w:val="503E4857"/>
    <w:rsid w:val="50487AB0"/>
    <w:rsid w:val="506D2F51"/>
    <w:rsid w:val="507E7F4A"/>
    <w:rsid w:val="50991274"/>
    <w:rsid w:val="50A27400"/>
    <w:rsid w:val="50BF7706"/>
    <w:rsid w:val="510637BA"/>
    <w:rsid w:val="51114346"/>
    <w:rsid w:val="51297762"/>
    <w:rsid w:val="512F4F1F"/>
    <w:rsid w:val="518641E1"/>
    <w:rsid w:val="51884258"/>
    <w:rsid w:val="520A2813"/>
    <w:rsid w:val="522612B5"/>
    <w:rsid w:val="524D0AC7"/>
    <w:rsid w:val="52562BD1"/>
    <w:rsid w:val="526D7891"/>
    <w:rsid w:val="52855B3B"/>
    <w:rsid w:val="52882B9C"/>
    <w:rsid w:val="52B23907"/>
    <w:rsid w:val="52C8312A"/>
    <w:rsid w:val="530821A2"/>
    <w:rsid w:val="53233B38"/>
    <w:rsid w:val="536F35A6"/>
    <w:rsid w:val="5376337B"/>
    <w:rsid w:val="538A4561"/>
    <w:rsid w:val="539412ED"/>
    <w:rsid w:val="53EF6563"/>
    <w:rsid w:val="542B571F"/>
    <w:rsid w:val="543C2E6F"/>
    <w:rsid w:val="544E10E1"/>
    <w:rsid w:val="547F3CBD"/>
    <w:rsid w:val="54960984"/>
    <w:rsid w:val="549B400B"/>
    <w:rsid w:val="54F14BBA"/>
    <w:rsid w:val="55092895"/>
    <w:rsid w:val="555F272B"/>
    <w:rsid w:val="55620C8F"/>
    <w:rsid w:val="55685398"/>
    <w:rsid w:val="556C5FEF"/>
    <w:rsid w:val="558E7915"/>
    <w:rsid w:val="55F06C20"/>
    <w:rsid w:val="561C2ED1"/>
    <w:rsid w:val="5620727B"/>
    <w:rsid w:val="5623420B"/>
    <w:rsid w:val="56485AB4"/>
    <w:rsid w:val="565076BF"/>
    <w:rsid w:val="56C56B16"/>
    <w:rsid w:val="56F23AFE"/>
    <w:rsid w:val="56F476E4"/>
    <w:rsid w:val="57057800"/>
    <w:rsid w:val="570D1A54"/>
    <w:rsid w:val="57141927"/>
    <w:rsid w:val="571476F4"/>
    <w:rsid w:val="572A1F42"/>
    <w:rsid w:val="577522EB"/>
    <w:rsid w:val="57E16F5E"/>
    <w:rsid w:val="57E427B4"/>
    <w:rsid w:val="57E83536"/>
    <w:rsid w:val="58366103"/>
    <w:rsid w:val="58BE1257"/>
    <w:rsid w:val="59276196"/>
    <w:rsid w:val="59584301"/>
    <w:rsid w:val="59926240"/>
    <w:rsid w:val="59AE312F"/>
    <w:rsid w:val="59CC07D1"/>
    <w:rsid w:val="59D0268B"/>
    <w:rsid w:val="5A2926CA"/>
    <w:rsid w:val="5A2F19D7"/>
    <w:rsid w:val="5A357292"/>
    <w:rsid w:val="5A474E9B"/>
    <w:rsid w:val="5A541857"/>
    <w:rsid w:val="5A6079F8"/>
    <w:rsid w:val="5A9F5188"/>
    <w:rsid w:val="5AEB16A8"/>
    <w:rsid w:val="5B2B12B2"/>
    <w:rsid w:val="5B3A29DE"/>
    <w:rsid w:val="5B417F1E"/>
    <w:rsid w:val="5B7A64F5"/>
    <w:rsid w:val="5B8027F4"/>
    <w:rsid w:val="5BEC15FC"/>
    <w:rsid w:val="5C344F5F"/>
    <w:rsid w:val="5C3D06E5"/>
    <w:rsid w:val="5C577FB4"/>
    <w:rsid w:val="5C6476E1"/>
    <w:rsid w:val="5C6B415E"/>
    <w:rsid w:val="5C7834CB"/>
    <w:rsid w:val="5CD71FA4"/>
    <w:rsid w:val="5CE029D5"/>
    <w:rsid w:val="5CFB5EAA"/>
    <w:rsid w:val="5D1038A9"/>
    <w:rsid w:val="5D3E4715"/>
    <w:rsid w:val="5D402F2D"/>
    <w:rsid w:val="5D471F7C"/>
    <w:rsid w:val="5D4F1FAE"/>
    <w:rsid w:val="5D5E0913"/>
    <w:rsid w:val="5D740898"/>
    <w:rsid w:val="5E0B3581"/>
    <w:rsid w:val="5E4863A1"/>
    <w:rsid w:val="5E4C10B3"/>
    <w:rsid w:val="5E6C2D2C"/>
    <w:rsid w:val="5ECB022A"/>
    <w:rsid w:val="5F596E00"/>
    <w:rsid w:val="5F5A7D39"/>
    <w:rsid w:val="5FB166EB"/>
    <w:rsid w:val="5FBA6BB4"/>
    <w:rsid w:val="5FFC08B7"/>
    <w:rsid w:val="60647CF7"/>
    <w:rsid w:val="607073F0"/>
    <w:rsid w:val="60AD095A"/>
    <w:rsid w:val="60AF7D4D"/>
    <w:rsid w:val="60CF08C7"/>
    <w:rsid w:val="60D9153A"/>
    <w:rsid w:val="60DF70FB"/>
    <w:rsid w:val="610A63FB"/>
    <w:rsid w:val="61785D1C"/>
    <w:rsid w:val="61FE1288"/>
    <w:rsid w:val="6221571C"/>
    <w:rsid w:val="62864468"/>
    <w:rsid w:val="6296455D"/>
    <w:rsid w:val="62A74B0A"/>
    <w:rsid w:val="62C24EDC"/>
    <w:rsid w:val="63022E12"/>
    <w:rsid w:val="6324615B"/>
    <w:rsid w:val="63714BFB"/>
    <w:rsid w:val="63A241EF"/>
    <w:rsid w:val="63E259AE"/>
    <w:rsid w:val="6412378E"/>
    <w:rsid w:val="642E3ED7"/>
    <w:rsid w:val="64383347"/>
    <w:rsid w:val="64517DE1"/>
    <w:rsid w:val="64602907"/>
    <w:rsid w:val="64AB255F"/>
    <w:rsid w:val="64B04DB2"/>
    <w:rsid w:val="64DA0F9A"/>
    <w:rsid w:val="64EC6779"/>
    <w:rsid w:val="65163344"/>
    <w:rsid w:val="651D10B4"/>
    <w:rsid w:val="652469FD"/>
    <w:rsid w:val="654266E4"/>
    <w:rsid w:val="657614AE"/>
    <w:rsid w:val="65B011DB"/>
    <w:rsid w:val="65B97414"/>
    <w:rsid w:val="66424F7C"/>
    <w:rsid w:val="666F2F74"/>
    <w:rsid w:val="668A4527"/>
    <w:rsid w:val="6699365B"/>
    <w:rsid w:val="67006CF9"/>
    <w:rsid w:val="671E3425"/>
    <w:rsid w:val="67420BC1"/>
    <w:rsid w:val="67685A5E"/>
    <w:rsid w:val="677443AA"/>
    <w:rsid w:val="679A2221"/>
    <w:rsid w:val="67A55364"/>
    <w:rsid w:val="67BA52E0"/>
    <w:rsid w:val="67C860F0"/>
    <w:rsid w:val="67D52ACE"/>
    <w:rsid w:val="67E36052"/>
    <w:rsid w:val="68106E0A"/>
    <w:rsid w:val="686B482C"/>
    <w:rsid w:val="68D6585D"/>
    <w:rsid w:val="68E048D2"/>
    <w:rsid w:val="68E82F4B"/>
    <w:rsid w:val="692C7858"/>
    <w:rsid w:val="6960038D"/>
    <w:rsid w:val="69765796"/>
    <w:rsid w:val="69766FE4"/>
    <w:rsid w:val="698E3807"/>
    <w:rsid w:val="69F95FB8"/>
    <w:rsid w:val="6A2E0103"/>
    <w:rsid w:val="6A384F94"/>
    <w:rsid w:val="6A9D5B40"/>
    <w:rsid w:val="6ACB176F"/>
    <w:rsid w:val="6AD61DB5"/>
    <w:rsid w:val="6ADC6B5B"/>
    <w:rsid w:val="6AEA7408"/>
    <w:rsid w:val="6AFF300A"/>
    <w:rsid w:val="6B19056F"/>
    <w:rsid w:val="6B1E69B7"/>
    <w:rsid w:val="6B361121"/>
    <w:rsid w:val="6B566163"/>
    <w:rsid w:val="6BF327D8"/>
    <w:rsid w:val="6C0E4BDC"/>
    <w:rsid w:val="6C13763E"/>
    <w:rsid w:val="6C4D6F64"/>
    <w:rsid w:val="6C856518"/>
    <w:rsid w:val="6C874768"/>
    <w:rsid w:val="6C912F4C"/>
    <w:rsid w:val="6C993953"/>
    <w:rsid w:val="6CA42E4F"/>
    <w:rsid w:val="6CD6114A"/>
    <w:rsid w:val="6CDA5A03"/>
    <w:rsid w:val="6D1D0855"/>
    <w:rsid w:val="6D6A7DE4"/>
    <w:rsid w:val="6D837514"/>
    <w:rsid w:val="6DE53EF1"/>
    <w:rsid w:val="6DFD72B1"/>
    <w:rsid w:val="6E52525B"/>
    <w:rsid w:val="6E6055D4"/>
    <w:rsid w:val="6E66516E"/>
    <w:rsid w:val="6E671C67"/>
    <w:rsid w:val="6ECF11CB"/>
    <w:rsid w:val="6EFF0454"/>
    <w:rsid w:val="6F572430"/>
    <w:rsid w:val="6F6129C0"/>
    <w:rsid w:val="6FE41DD1"/>
    <w:rsid w:val="70041E1F"/>
    <w:rsid w:val="70616963"/>
    <w:rsid w:val="71463740"/>
    <w:rsid w:val="714B159E"/>
    <w:rsid w:val="718A160A"/>
    <w:rsid w:val="71A16AFE"/>
    <w:rsid w:val="71F31B1A"/>
    <w:rsid w:val="71FD3357"/>
    <w:rsid w:val="7209539D"/>
    <w:rsid w:val="720A5B19"/>
    <w:rsid w:val="723D2D95"/>
    <w:rsid w:val="72CE7E91"/>
    <w:rsid w:val="73121F7A"/>
    <w:rsid w:val="73190431"/>
    <w:rsid w:val="7338355D"/>
    <w:rsid w:val="734F7E72"/>
    <w:rsid w:val="73737144"/>
    <w:rsid w:val="73B51E64"/>
    <w:rsid w:val="73BF5C6D"/>
    <w:rsid w:val="73E9111A"/>
    <w:rsid w:val="740B1808"/>
    <w:rsid w:val="74AF2A1A"/>
    <w:rsid w:val="752B4B10"/>
    <w:rsid w:val="752F27D7"/>
    <w:rsid w:val="753C6E57"/>
    <w:rsid w:val="755844FA"/>
    <w:rsid w:val="75A45043"/>
    <w:rsid w:val="75AC3032"/>
    <w:rsid w:val="75D3121C"/>
    <w:rsid w:val="75E5153C"/>
    <w:rsid w:val="75F7560C"/>
    <w:rsid w:val="761F16AA"/>
    <w:rsid w:val="76591BD1"/>
    <w:rsid w:val="766B0306"/>
    <w:rsid w:val="766C1725"/>
    <w:rsid w:val="7699557C"/>
    <w:rsid w:val="76A370DB"/>
    <w:rsid w:val="770F5E39"/>
    <w:rsid w:val="772167A4"/>
    <w:rsid w:val="77847999"/>
    <w:rsid w:val="77AE3DED"/>
    <w:rsid w:val="77B85722"/>
    <w:rsid w:val="77CD498D"/>
    <w:rsid w:val="77DE04BA"/>
    <w:rsid w:val="77E708F9"/>
    <w:rsid w:val="78621151"/>
    <w:rsid w:val="788445D7"/>
    <w:rsid w:val="791B39FF"/>
    <w:rsid w:val="79444A09"/>
    <w:rsid w:val="7A0F041B"/>
    <w:rsid w:val="7A442F9A"/>
    <w:rsid w:val="7A5142A8"/>
    <w:rsid w:val="7A741F16"/>
    <w:rsid w:val="7A8C0A86"/>
    <w:rsid w:val="7AB76BC8"/>
    <w:rsid w:val="7AFB6405"/>
    <w:rsid w:val="7B067CA4"/>
    <w:rsid w:val="7B0A57DF"/>
    <w:rsid w:val="7B42141C"/>
    <w:rsid w:val="7B4F498E"/>
    <w:rsid w:val="7B565861"/>
    <w:rsid w:val="7B617D66"/>
    <w:rsid w:val="7BD543AB"/>
    <w:rsid w:val="7BF858E1"/>
    <w:rsid w:val="7C1A2F9C"/>
    <w:rsid w:val="7C1C308A"/>
    <w:rsid w:val="7C4B7F00"/>
    <w:rsid w:val="7C7E3754"/>
    <w:rsid w:val="7CD2658F"/>
    <w:rsid w:val="7CDA5285"/>
    <w:rsid w:val="7D13481D"/>
    <w:rsid w:val="7D365FDD"/>
    <w:rsid w:val="7D5947DF"/>
    <w:rsid w:val="7D5F2B1E"/>
    <w:rsid w:val="7D695789"/>
    <w:rsid w:val="7D8A5B8E"/>
    <w:rsid w:val="7D8E3F2E"/>
    <w:rsid w:val="7D9C5BD8"/>
    <w:rsid w:val="7DBE27BF"/>
    <w:rsid w:val="7DDB238B"/>
    <w:rsid w:val="7DF57E97"/>
    <w:rsid w:val="7DF776E2"/>
    <w:rsid w:val="7DFE73A3"/>
    <w:rsid w:val="7E1F325E"/>
    <w:rsid w:val="7E71369C"/>
    <w:rsid w:val="7E9467E7"/>
    <w:rsid w:val="7EAA2B02"/>
    <w:rsid w:val="7EB27DC3"/>
    <w:rsid w:val="7EBF776D"/>
    <w:rsid w:val="7ECA30ED"/>
    <w:rsid w:val="7EF649F8"/>
    <w:rsid w:val="7F250D74"/>
    <w:rsid w:val="7FB36445"/>
    <w:rsid w:val="7FB76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6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81"/>
    <w:qFormat/>
    <w:uiPriority w:val="0"/>
    <w:pPr>
      <w:keepNext/>
      <w:keepLines/>
      <w:adjustRightInd w:val="0"/>
      <w:snapToGrid w:val="0"/>
      <w:spacing w:line="360" w:lineRule="auto"/>
      <w:ind w:firstLine="0" w:firstLineChars="0"/>
      <w:jc w:val="center"/>
      <w:outlineLvl w:val="0"/>
    </w:pPr>
    <w:rPr>
      <w:rFonts w:eastAsia="黑体"/>
      <w:b/>
      <w:bCs/>
      <w:kern w:val="44"/>
      <w:sz w:val="36"/>
      <w:szCs w:val="44"/>
    </w:rPr>
  </w:style>
  <w:style w:type="paragraph" w:styleId="3">
    <w:name w:val="heading 2"/>
    <w:basedOn w:val="1"/>
    <w:next w:val="1"/>
    <w:link w:val="82"/>
    <w:qFormat/>
    <w:uiPriority w:val="0"/>
    <w:pPr>
      <w:keepNext/>
      <w:keepLines/>
      <w:adjustRightInd w:val="0"/>
      <w:snapToGrid w:val="0"/>
      <w:spacing w:line="360" w:lineRule="auto"/>
      <w:ind w:firstLine="0" w:firstLineChars="0"/>
      <w:jc w:val="left"/>
      <w:outlineLvl w:val="1"/>
    </w:pPr>
    <w:rPr>
      <w:rFonts w:ascii="Arial" w:hAnsi="Arial" w:eastAsia="黑体"/>
      <w:b/>
      <w:bCs/>
      <w:sz w:val="30"/>
      <w:szCs w:val="32"/>
    </w:rPr>
  </w:style>
  <w:style w:type="paragraph" w:styleId="4">
    <w:name w:val="heading 3"/>
    <w:basedOn w:val="1"/>
    <w:next w:val="1"/>
    <w:link w:val="43"/>
    <w:qFormat/>
    <w:uiPriority w:val="0"/>
    <w:pPr>
      <w:keepNext/>
      <w:keepLines/>
      <w:adjustRightInd w:val="0"/>
      <w:snapToGrid w:val="0"/>
      <w:spacing w:line="360" w:lineRule="auto"/>
      <w:ind w:firstLine="0" w:firstLineChars="0"/>
      <w:jc w:val="left"/>
      <w:outlineLvl w:val="2"/>
    </w:pPr>
    <w:rPr>
      <w:rFonts w:ascii="Times New Roman" w:hAnsi="Times New Roman" w:eastAsia="宋体"/>
      <w:b/>
      <w:bCs/>
      <w:sz w:val="30"/>
      <w:szCs w:val="32"/>
    </w:rPr>
  </w:style>
  <w:style w:type="paragraph" w:styleId="5">
    <w:name w:val="heading 4"/>
    <w:basedOn w:val="1"/>
    <w:next w:val="1"/>
    <w:unhideWhenUsed/>
    <w:qFormat/>
    <w:uiPriority w:val="0"/>
    <w:pPr>
      <w:keepNext/>
      <w:keepLines/>
      <w:spacing w:beforeLines="0" w:beforeAutospacing="0" w:afterLines="0" w:afterAutospacing="0" w:line="360" w:lineRule="auto"/>
      <w:ind w:firstLine="0" w:firstLineChars="0"/>
      <w:outlineLvl w:val="3"/>
    </w:pPr>
    <w:rPr>
      <w:rFonts w:ascii="Times New Roman" w:hAnsi="Times New Roman" w:eastAsia="宋体"/>
      <w:b/>
    </w:rPr>
  </w:style>
  <w:style w:type="character" w:default="1" w:styleId="24">
    <w:name w:val="Default Paragraph Font"/>
    <w:link w:val="25"/>
    <w:semiHidden/>
    <w:qFormat/>
    <w:uiPriority w:val="0"/>
    <w:rPr>
      <w:rFonts w:ascii="宋体" w:hAnsi="宋体"/>
      <w:sz w:val="24"/>
    </w:rPr>
  </w:style>
  <w:style w:type="table" w:default="1" w:styleId="22">
    <w:name w:val="Normal Table"/>
    <w:semiHidden/>
    <w:qFormat/>
    <w:uiPriority w:val="0"/>
    <w:tblPr>
      <w:tblCellMar>
        <w:top w:w="0" w:type="dxa"/>
        <w:left w:w="108" w:type="dxa"/>
        <w:bottom w:w="0" w:type="dxa"/>
        <w:right w:w="108" w:type="dxa"/>
      </w:tblCellMar>
    </w:tblPr>
  </w:style>
  <w:style w:type="paragraph" w:styleId="6">
    <w:name w:val="Normal Indent"/>
    <w:basedOn w:val="1"/>
    <w:next w:val="1"/>
    <w:unhideWhenUsed/>
    <w:qFormat/>
    <w:uiPriority w:val="99"/>
    <w:pPr>
      <w:ind w:firstLine="420"/>
    </w:pPr>
    <w:rPr>
      <w:rFonts w:eastAsia="仿宋"/>
      <w:kern w:val="32"/>
      <w:szCs w:val="28"/>
      <w:lang w:eastAsia="en-US"/>
    </w:rPr>
  </w:style>
  <w:style w:type="paragraph" w:styleId="7">
    <w:name w:val="Body Text"/>
    <w:basedOn w:val="1"/>
    <w:next w:val="8"/>
    <w:qFormat/>
    <w:uiPriority w:val="0"/>
    <w:pPr>
      <w:spacing w:after="120" w:afterLines="0" w:afterAutospacing="0"/>
    </w:pPr>
  </w:style>
  <w:style w:type="paragraph" w:customStyle="1" w:styleId="8">
    <w:name w:val="1"/>
    <w:basedOn w:val="9"/>
    <w:next w:val="10"/>
    <w:qFormat/>
    <w:uiPriority w:val="0"/>
    <w:pPr>
      <w:spacing w:afterLines="50" w:line="360" w:lineRule="auto"/>
    </w:pPr>
    <w:rPr>
      <w:rFonts w:ascii="宋体" w:hAnsi="宋体"/>
      <w:b/>
      <w:sz w:val="30"/>
    </w:rPr>
  </w:style>
  <w:style w:type="paragraph" w:customStyle="1" w:styleId="9">
    <w:name w:val="正文 New New New"/>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10">
    <w:name w:val="Body Text Indent"/>
    <w:basedOn w:val="1"/>
    <w:next w:val="11"/>
    <w:link w:val="66"/>
    <w:semiHidden/>
    <w:unhideWhenUsed/>
    <w:qFormat/>
    <w:uiPriority w:val="99"/>
    <w:pPr>
      <w:spacing w:after="120"/>
      <w:ind w:left="420" w:leftChars="200"/>
    </w:pPr>
  </w:style>
  <w:style w:type="paragraph" w:customStyle="1" w:styleId="11">
    <w:name w:val="font5"/>
    <w:basedOn w:val="1"/>
    <w:qFormat/>
    <w:uiPriority w:val="0"/>
    <w:pPr>
      <w:widowControl/>
      <w:spacing w:before="100" w:beforeLines="0" w:beforeAutospacing="1" w:after="100" w:afterLines="0" w:afterAutospacing="1"/>
      <w:jc w:val="left"/>
    </w:pPr>
    <w:rPr>
      <w:rFonts w:hint="eastAsia" w:ascii="宋体" w:hAnsi="宋体"/>
      <w:kern w:val="0"/>
      <w:sz w:val="18"/>
    </w:rPr>
  </w:style>
  <w:style w:type="paragraph" w:styleId="12">
    <w:name w:val="toc 3"/>
    <w:basedOn w:val="1"/>
    <w:next w:val="1"/>
    <w:qFormat/>
    <w:uiPriority w:val="0"/>
    <w:pPr>
      <w:ind w:left="840" w:leftChars="400"/>
    </w:pPr>
  </w:style>
  <w:style w:type="paragraph" w:styleId="13">
    <w:name w:val="Plain Text"/>
    <w:basedOn w:val="1"/>
    <w:qFormat/>
    <w:uiPriority w:val="0"/>
    <w:rPr>
      <w:rFonts w:ascii="宋体" w:hAnsi="Courier New" w:cs="Courier New"/>
    </w:rPr>
  </w:style>
  <w:style w:type="paragraph" w:styleId="14">
    <w:name w:val="Body Text Indent 2"/>
    <w:basedOn w:val="1"/>
    <w:qFormat/>
    <w:uiPriority w:val="99"/>
    <w:pPr>
      <w:ind w:firstLine="420"/>
    </w:pPr>
    <w:rPr>
      <w:kern w:val="0"/>
      <w:sz w:val="20"/>
    </w:rPr>
  </w:style>
  <w:style w:type="paragraph" w:styleId="15">
    <w:name w:val="footer"/>
    <w:basedOn w:val="1"/>
    <w:unhideWhenUsed/>
    <w:qFormat/>
    <w:uiPriority w:val="0"/>
    <w:pPr>
      <w:tabs>
        <w:tab w:val="center" w:pos="4153"/>
        <w:tab w:val="right" w:pos="8306"/>
      </w:tabs>
      <w:snapToGrid w:val="0"/>
      <w:jc w:val="left"/>
    </w:pPr>
    <w:rPr>
      <w:sz w:val="24"/>
      <w:szCs w:val="18"/>
    </w:rPr>
  </w:style>
  <w:style w:type="paragraph" w:styleId="1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0"/>
    <w:pPr>
      <w:tabs>
        <w:tab w:val="right" w:leader="dot" w:pos="8494"/>
      </w:tabs>
      <w:adjustRightInd w:val="0"/>
      <w:snapToGrid w:val="0"/>
      <w:spacing w:line="360" w:lineRule="auto"/>
      <w:ind w:firstLine="0" w:firstLineChars="0"/>
      <w:jc w:val="left"/>
    </w:pPr>
    <w:rPr>
      <w:rFonts w:ascii="Times New Roman" w:hAnsi="Times New Roman" w:eastAsia="宋体"/>
      <w:b/>
      <w:bCs/>
      <w:caps/>
      <w:sz w:val="32"/>
      <w:szCs w:val="20"/>
    </w:rPr>
  </w:style>
  <w:style w:type="paragraph" w:styleId="18">
    <w:name w:val="toc 2"/>
    <w:basedOn w:val="1"/>
    <w:next w:val="1"/>
    <w:qFormat/>
    <w:uiPriority w:val="0"/>
    <w:pPr>
      <w:tabs>
        <w:tab w:val="right" w:leader="dot" w:pos="8494"/>
      </w:tabs>
      <w:spacing w:line="360" w:lineRule="auto"/>
      <w:ind w:firstLine="0" w:firstLineChars="0"/>
      <w:jc w:val="left"/>
    </w:pPr>
    <w:rPr>
      <w:rFonts w:ascii="Times New Roman" w:hAnsi="Times New Roman" w:eastAsia="仿宋"/>
      <w:smallCaps/>
      <w:sz w:val="28"/>
      <w:szCs w:val="30"/>
    </w:rPr>
  </w:style>
  <w:style w:type="paragraph" w:styleId="1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kern w:val="0"/>
      <w:sz w:val="21"/>
      <w:szCs w:val="21"/>
      <w:lang w:val="en-US" w:eastAsia="zh-CN" w:bidi="ar"/>
    </w:rPr>
  </w:style>
  <w:style w:type="paragraph" w:styleId="20">
    <w:name w:val="Body Text First Indent"/>
    <w:basedOn w:val="7"/>
    <w:next w:val="1"/>
    <w:qFormat/>
    <w:uiPriority w:val="0"/>
    <w:pPr>
      <w:ind w:firstLine="420" w:firstLineChars="100"/>
    </w:pPr>
  </w:style>
  <w:style w:type="paragraph" w:styleId="21">
    <w:name w:val="Body Text First Indent 2"/>
    <w:basedOn w:val="10"/>
    <w:next w:val="6"/>
    <w:unhideWhenUsed/>
    <w:qFormat/>
    <w:uiPriority w:val="99"/>
    <w:pPr>
      <w:ind w:firstLine="42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
    <w:name w:val="_Style 45"/>
    <w:basedOn w:val="1"/>
    <w:link w:val="24"/>
    <w:qFormat/>
    <w:uiPriority w:val="0"/>
    <w:pPr>
      <w:adjustRightInd w:val="0"/>
      <w:snapToGrid w:val="0"/>
      <w:ind w:firstLine="200" w:firstLineChars="200"/>
    </w:pPr>
    <w:rPr>
      <w:rFonts w:ascii="宋体" w:hAnsi="宋体"/>
      <w:sz w:val="24"/>
    </w:rPr>
  </w:style>
  <w:style w:type="character" w:styleId="26">
    <w:name w:val="page number"/>
    <w:basedOn w:val="24"/>
    <w:qFormat/>
    <w:uiPriority w:val="0"/>
  </w:style>
  <w:style w:type="character" w:styleId="27">
    <w:name w:val="FollowedHyperlink"/>
    <w:basedOn w:val="24"/>
    <w:qFormat/>
    <w:uiPriority w:val="0"/>
    <w:rPr>
      <w:color w:val="383838"/>
      <w:u w:val="none"/>
    </w:rPr>
  </w:style>
  <w:style w:type="character" w:styleId="28">
    <w:name w:val="Emphasis"/>
    <w:basedOn w:val="24"/>
    <w:qFormat/>
    <w:uiPriority w:val="0"/>
  </w:style>
  <w:style w:type="character" w:styleId="29">
    <w:name w:val="Hyperlink"/>
    <w:basedOn w:val="24"/>
    <w:qFormat/>
    <w:uiPriority w:val="0"/>
    <w:rPr>
      <w:color w:val="383838"/>
      <w:u w:val="none"/>
    </w:rPr>
  </w:style>
  <w:style w:type="paragraph" w:customStyle="1" w:styleId="30">
    <w:name w:val="000正文-首行缩进"/>
    <w:qFormat/>
    <w:uiPriority w:val="0"/>
    <w:pPr>
      <w:adjustRightInd w:val="0"/>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31">
    <w:name w:val="正文-首行缩进"/>
    <w:qFormat/>
    <w:uiPriority w:val="0"/>
    <w:pPr>
      <w:adjustRightInd w:val="0"/>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32">
    <w:name w:val="封面一"/>
    <w:basedOn w:val="1"/>
    <w:next w:val="1"/>
    <w:qFormat/>
    <w:uiPriority w:val="0"/>
    <w:pPr>
      <w:ind w:firstLine="0" w:firstLineChars="0"/>
      <w:jc w:val="center"/>
    </w:pPr>
    <w:rPr>
      <w:rFonts w:ascii="Times New Roman" w:hAnsi="Times New Roman" w:eastAsia="黑体"/>
      <w:sz w:val="44"/>
    </w:rPr>
  </w:style>
  <w:style w:type="paragraph" w:customStyle="1" w:styleId="33">
    <w:name w:val="封面二"/>
    <w:basedOn w:val="32"/>
    <w:next w:val="1"/>
    <w:qFormat/>
    <w:uiPriority w:val="0"/>
    <w:rPr>
      <w:sz w:val="36"/>
    </w:rPr>
  </w:style>
  <w:style w:type="paragraph" w:customStyle="1" w:styleId="34">
    <w:name w:val="表头"/>
    <w:basedOn w:val="1"/>
    <w:link w:val="40"/>
    <w:qFormat/>
    <w:uiPriority w:val="0"/>
    <w:pPr>
      <w:spacing w:line="240" w:lineRule="auto"/>
      <w:ind w:firstLine="0" w:firstLineChars="0"/>
      <w:jc w:val="center"/>
    </w:pPr>
    <w:rPr>
      <w:b/>
    </w:rPr>
  </w:style>
  <w:style w:type="paragraph" w:customStyle="1" w:styleId="35">
    <w:name w:val="表格1"/>
    <w:basedOn w:val="1"/>
    <w:qFormat/>
    <w:uiPriority w:val="0"/>
    <w:pPr>
      <w:spacing w:line="240" w:lineRule="auto"/>
      <w:ind w:firstLine="0" w:firstLineChars="0"/>
      <w:jc w:val="center"/>
    </w:pPr>
    <w:rPr>
      <w:sz w:val="24"/>
    </w:rPr>
  </w:style>
  <w:style w:type="paragraph" w:customStyle="1" w:styleId="36">
    <w:name w:val="表格2"/>
    <w:basedOn w:val="35"/>
    <w:link w:val="37"/>
    <w:qFormat/>
    <w:uiPriority w:val="0"/>
    <w:rPr>
      <w:rFonts w:ascii="Times New Roman" w:hAnsi="Times New Roman" w:eastAsia="宋体"/>
      <w:sz w:val="21"/>
      <w:szCs w:val="21"/>
    </w:rPr>
  </w:style>
  <w:style w:type="character" w:customStyle="1" w:styleId="37">
    <w:name w:val="表格2 Char"/>
    <w:link w:val="36"/>
    <w:qFormat/>
    <w:uiPriority w:val="0"/>
    <w:rPr>
      <w:rFonts w:ascii="Times New Roman" w:hAnsi="Times New Roman" w:eastAsia="宋体"/>
      <w:spacing w:val="0"/>
      <w:sz w:val="21"/>
      <w:szCs w:val="21"/>
    </w:rPr>
  </w:style>
  <w:style w:type="paragraph" w:customStyle="1" w:styleId="38">
    <w:name w:val="表格3"/>
    <w:basedOn w:val="36"/>
    <w:link w:val="39"/>
    <w:qFormat/>
    <w:uiPriority w:val="0"/>
    <w:rPr>
      <w:rFonts w:ascii="Times New Roman" w:hAnsi="Times New Roman"/>
      <w:sz w:val="21"/>
    </w:rPr>
  </w:style>
  <w:style w:type="character" w:customStyle="1" w:styleId="39">
    <w:name w:val="表格3 Char"/>
    <w:link w:val="38"/>
    <w:qFormat/>
    <w:uiPriority w:val="0"/>
    <w:rPr>
      <w:rFonts w:ascii="Times New Roman" w:hAnsi="Times New Roman"/>
      <w:sz w:val="21"/>
    </w:rPr>
  </w:style>
  <w:style w:type="character" w:customStyle="1" w:styleId="40">
    <w:name w:val="表头 Char"/>
    <w:link w:val="34"/>
    <w:qFormat/>
    <w:uiPriority w:val="0"/>
    <w:rPr>
      <w:rFonts w:eastAsia="宋体"/>
      <w:b/>
    </w:rPr>
  </w:style>
  <w:style w:type="paragraph" w:customStyle="1" w:styleId="41">
    <w:name w:val="图题目00"/>
    <w:basedOn w:val="42"/>
    <w:qFormat/>
    <w:uiPriority w:val="0"/>
    <w:pPr>
      <w:spacing w:before="80" w:after="80"/>
    </w:pPr>
    <w:rPr>
      <w:bCs/>
    </w:rPr>
  </w:style>
  <w:style w:type="paragraph" w:customStyle="1" w:styleId="42">
    <w:name w:val="图题目"/>
    <w:basedOn w:val="1"/>
    <w:next w:val="1"/>
    <w:qFormat/>
    <w:uiPriority w:val="0"/>
    <w:pPr>
      <w:keepLines/>
      <w:spacing w:before="156" w:after="156"/>
      <w:jc w:val="center"/>
    </w:pPr>
    <w:rPr>
      <w:rFonts w:cs="宋体"/>
      <w:b/>
      <w:sz w:val="21"/>
      <w:szCs w:val="20"/>
    </w:rPr>
  </w:style>
  <w:style w:type="character" w:customStyle="1" w:styleId="43">
    <w:name w:val="标题 3 Char"/>
    <w:link w:val="4"/>
    <w:qFormat/>
    <w:uiPriority w:val="0"/>
    <w:rPr>
      <w:rFonts w:ascii="Times New Roman" w:hAnsi="Times New Roman" w:eastAsia="宋体"/>
      <w:b/>
      <w:bCs/>
      <w:sz w:val="30"/>
      <w:szCs w:val="32"/>
    </w:rPr>
  </w:style>
  <w:style w:type="character" w:customStyle="1" w:styleId="44">
    <w:name w:val="font41"/>
    <w:basedOn w:val="24"/>
    <w:qFormat/>
    <w:uiPriority w:val="0"/>
    <w:rPr>
      <w:rFonts w:hint="eastAsia" w:ascii="宋体" w:hAnsi="宋体" w:eastAsia="宋体" w:cs="宋体"/>
      <w:color w:val="000000"/>
      <w:sz w:val="24"/>
      <w:szCs w:val="24"/>
      <w:u w:val="none"/>
    </w:rPr>
  </w:style>
  <w:style w:type="character" w:customStyle="1" w:styleId="45">
    <w:name w:val="font11"/>
    <w:basedOn w:val="24"/>
    <w:qFormat/>
    <w:uiPriority w:val="0"/>
    <w:rPr>
      <w:rFonts w:hint="eastAsia" w:ascii="宋体" w:hAnsi="宋体" w:eastAsia="宋体" w:cs="宋体"/>
      <w:color w:val="000000"/>
      <w:sz w:val="24"/>
      <w:szCs w:val="24"/>
      <w:u w:val="none"/>
      <w:vertAlign w:val="superscript"/>
    </w:rPr>
  </w:style>
  <w:style w:type="character" w:customStyle="1" w:styleId="46">
    <w:name w:val="font21"/>
    <w:basedOn w:val="24"/>
    <w:qFormat/>
    <w:uiPriority w:val="0"/>
    <w:rPr>
      <w:rFonts w:hint="eastAsia" w:ascii="宋体" w:hAnsi="宋体" w:eastAsia="宋体" w:cs="宋体"/>
      <w:color w:val="000000"/>
      <w:sz w:val="21"/>
      <w:szCs w:val="21"/>
      <w:u w:val="none"/>
    </w:rPr>
  </w:style>
  <w:style w:type="character" w:customStyle="1" w:styleId="47">
    <w:name w:val="font01"/>
    <w:basedOn w:val="24"/>
    <w:qFormat/>
    <w:uiPriority w:val="0"/>
    <w:rPr>
      <w:rFonts w:hint="eastAsia" w:ascii="宋体" w:hAnsi="宋体" w:eastAsia="宋体" w:cs="宋体"/>
      <w:color w:val="000000"/>
      <w:sz w:val="21"/>
      <w:szCs w:val="21"/>
      <w:u w:val="none"/>
      <w:vertAlign w:val="superscript"/>
    </w:rPr>
  </w:style>
  <w:style w:type="character" w:customStyle="1" w:styleId="48">
    <w:name w:val="font31"/>
    <w:basedOn w:val="24"/>
    <w:qFormat/>
    <w:uiPriority w:val="0"/>
    <w:rPr>
      <w:rFonts w:hint="eastAsia" w:ascii="宋体" w:hAnsi="宋体" w:eastAsia="宋体" w:cs="宋体"/>
      <w:color w:val="000000"/>
      <w:sz w:val="21"/>
      <w:szCs w:val="21"/>
      <w:u w:val="none"/>
    </w:rPr>
  </w:style>
  <w:style w:type="character" w:customStyle="1" w:styleId="49">
    <w:name w:val="font51"/>
    <w:basedOn w:val="24"/>
    <w:qFormat/>
    <w:uiPriority w:val="0"/>
    <w:rPr>
      <w:rFonts w:hint="eastAsia" w:ascii="宋体" w:hAnsi="宋体" w:eastAsia="宋体" w:cs="宋体"/>
      <w:b/>
      <w:bCs/>
      <w:color w:val="000000"/>
      <w:sz w:val="20"/>
      <w:szCs w:val="20"/>
      <w:u w:val="none"/>
      <w:vertAlign w:val="subscript"/>
    </w:rPr>
  </w:style>
  <w:style w:type="character" w:customStyle="1" w:styleId="50">
    <w:name w:val="font61"/>
    <w:basedOn w:val="24"/>
    <w:qFormat/>
    <w:uiPriority w:val="0"/>
    <w:rPr>
      <w:rFonts w:hint="eastAsia" w:ascii="宋体" w:hAnsi="宋体" w:eastAsia="宋体" w:cs="宋体"/>
      <w:color w:val="000000"/>
      <w:sz w:val="20"/>
      <w:szCs w:val="20"/>
      <w:u w:val="none"/>
      <w:vertAlign w:val="superscript"/>
    </w:rPr>
  </w:style>
  <w:style w:type="character" w:customStyle="1" w:styleId="51">
    <w:name w:val="font71"/>
    <w:basedOn w:val="24"/>
    <w:qFormat/>
    <w:uiPriority w:val="0"/>
    <w:rPr>
      <w:rFonts w:hint="default" w:ascii="Times New Roman" w:hAnsi="Times New Roman" w:cs="Times New Roman"/>
      <w:color w:val="000000"/>
      <w:sz w:val="20"/>
      <w:szCs w:val="20"/>
      <w:u w:val="none"/>
    </w:rPr>
  </w:style>
  <w:style w:type="character" w:customStyle="1" w:styleId="52">
    <w:name w:val="font81"/>
    <w:basedOn w:val="24"/>
    <w:qFormat/>
    <w:uiPriority w:val="0"/>
    <w:rPr>
      <w:rFonts w:hint="default" w:ascii="Times New Roman" w:hAnsi="Times New Roman" w:cs="Times New Roman"/>
      <w:color w:val="000000"/>
      <w:sz w:val="20"/>
      <w:szCs w:val="20"/>
      <w:u w:val="none"/>
      <w:vertAlign w:val="superscript"/>
    </w:rPr>
  </w:style>
  <w:style w:type="paragraph" w:customStyle="1" w:styleId="53">
    <w:name w:val="样式29"/>
    <w:basedOn w:val="54"/>
    <w:qFormat/>
    <w:uiPriority w:val="0"/>
  </w:style>
  <w:style w:type="paragraph" w:customStyle="1" w:styleId="54">
    <w:name w:val="标题4"/>
    <w:basedOn w:val="3"/>
    <w:next w:val="1"/>
    <w:qFormat/>
    <w:uiPriority w:val="0"/>
    <w:pPr>
      <w:spacing w:before="0" w:after="0"/>
      <w:ind w:firstLine="0" w:firstLineChars="0"/>
      <w:outlineLvl w:val="2"/>
    </w:pPr>
    <w:rPr>
      <w:rFonts w:ascii="宋体" w:hAnsi="宋体"/>
      <w:sz w:val="28"/>
      <w:szCs w:val="28"/>
    </w:rPr>
  </w:style>
  <w:style w:type="paragraph" w:customStyle="1" w:styleId="55">
    <w:name w:val="样式4"/>
    <w:basedOn w:val="1"/>
    <w:qFormat/>
    <w:uiPriority w:val="0"/>
    <w:rPr>
      <w:rFonts w:hint="eastAsia"/>
    </w:rPr>
  </w:style>
  <w:style w:type="paragraph" w:customStyle="1" w:styleId="56">
    <w:name w:val="样式 样式 左侧:  2 字符 + 左侧:  0.85 厘米 首行缩进:  2 字符1"/>
    <w:basedOn w:val="1"/>
    <w:qFormat/>
    <w:uiPriority w:val="99"/>
    <w:pPr>
      <w:ind w:left="482" w:firstLine="200"/>
    </w:pPr>
    <w:rPr>
      <w:rFonts w:cs="宋体"/>
      <w:sz w:val="24"/>
      <w:szCs w:val="20"/>
    </w:rPr>
  </w:style>
  <w:style w:type="character" w:customStyle="1" w:styleId="57">
    <w:name w:val="font101"/>
    <w:basedOn w:val="24"/>
    <w:qFormat/>
    <w:uiPriority w:val="0"/>
    <w:rPr>
      <w:rFonts w:hint="eastAsia" w:ascii="宋体" w:hAnsi="宋体" w:eastAsia="宋体" w:cs="宋体"/>
      <w:color w:val="000000"/>
      <w:sz w:val="18"/>
      <w:szCs w:val="18"/>
      <w:u w:val="none"/>
    </w:rPr>
  </w:style>
  <w:style w:type="character" w:customStyle="1" w:styleId="58">
    <w:name w:val="font112"/>
    <w:basedOn w:val="24"/>
    <w:qFormat/>
    <w:uiPriority w:val="0"/>
    <w:rPr>
      <w:rFonts w:hint="default" w:ascii="Times New Roman" w:hAnsi="Times New Roman" w:cs="Times New Roman"/>
      <w:color w:val="000000"/>
      <w:sz w:val="18"/>
      <w:szCs w:val="18"/>
      <w:u w:val="none"/>
    </w:rPr>
  </w:style>
  <w:style w:type="character" w:customStyle="1" w:styleId="59">
    <w:name w:val="font131"/>
    <w:basedOn w:val="24"/>
    <w:qFormat/>
    <w:uiPriority w:val="0"/>
    <w:rPr>
      <w:rFonts w:hint="default" w:ascii="Times New Roman" w:hAnsi="Times New Roman" w:cs="Times New Roman"/>
      <w:color w:val="000000"/>
      <w:sz w:val="18"/>
      <w:szCs w:val="18"/>
      <w:u w:val="none"/>
      <w:vertAlign w:val="superscript"/>
    </w:rPr>
  </w:style>
  <w:style w:type="character" w:customStyle="1" w:styleId="60">
    <w:name w:val="font91"/>
    <w:basedOn w:val="24"/>
    <w:qFormat/>
    <w:uiPriority w:val="0"/>
    <w:rPr>
      <w:rFonts w:hint="default" w:ascii="Times New Roman" w:hAnsi="Times New Roman" w:cs="Times New Roman"/>
      <w:color w:val="000000"/>
      <w:sz w:val="18"/>
      <w:szCs w:val="18"/>
      <w:u w:val="none"/>
      <w:vertAlign w:val="superscript"/>
    </w:rPr>
  </w:style>
  <w:style w:type="character" w:customStyle="1" w:styleId="61">
    <w:name w:val="font111"/>
    <w:basedOn w:val="24"/>
    <w:qFormat/>
    <w:uiPriority w:val="0"/>
    <w:rPr>
      <w:rFonts w:hint="eastAsia" w:ascii="宋体" w:hAnsi="宋体" w:eastAsia="宋体" w:cs="宋体"/>
      <w:b/>
      <w:bCs/>
      <w:color w:val="000000"/>
      <w:sz w:val="18"/>
      <w:szCs w:val="18"/>
      <w:u w:val="none"/>
    </w:rPr>
  </w:style>
  <w:style w:type="character" w:customStyle="1" w:styleId="62">
    <w:name w:val="font122"/>
    <w:basedOn w:val="24"/>
    <w:qFormat/>
    <w:uiPriority w:val="0"/>
    <w:rPr>
      <w:rFonts w:hint="eastAsia" w:ascii="宋体" w:hAnsi="宋体" w:eastAsia="宋体" w:cs="宋体"/>
      <w:color w:val="000000"/>
      <w:sz w:val="18"/>
      <w:szCs w:val="18"/>
      <w:u w:val="none"/>
    </w:rPr>
  </w:style>
  <w:style w:type="paragraph" w:customStyle="1" w:styleId="63">
    <w:name w:val="样式 样式 小四 首行缩进:  0.85 厘米 段前: 7.8 磅 行距: 1.5 倍行距 + (符号) 宋体 首行缩进:  ..."/>
    <w:basedOn w:val="1"/>
    <w:qFormat/>
    <w:uiPriority w:val="0"/>
    <w:pPr>
      <w:spacing w:before="156" w:beforeLines="50" w:line="360" w:lineRule="auto"/>
      <w:ind w:firstLine="200" w:firstLineChars="200"/>
    </w:pPr>
    <w:rPr>
      <w:rFonts w:ascii="Times New Roman" w:cs="宋体"/>
      <w:sz w:val="24"/>
    </w:rPr>
  </w:style>
  <w:style w:type="paragraph" w:customStyle="1" w:styleId="64">
    <w:name w:val="表格"/>
    <w:basedOn w:val="1"/>
    <w:next w:val="1"/>
    <w:qFormat/>
    <w:uiPriority w:val="0"/>
    <w:pPr>
      <w:spacing w:line="240" w:lineRule="auto"/>
      <w:ind w:firstLine="0" w:firstLineChars="0"/>
    </w:pPr>
    <w:rPr>
      <w:rFonts w:eastAsia="仿宋_GB2312"/>
      <w:sz w:val="21"/>
    </w:rPr>
  </w:style>
  <w:style w:type="paragraph" w:customStyle="1" w:styleId="65">
    <w:name w:val="序号1.1.1.1"/>
    <w:qFormat/>
    <w:uiPriority w:val="0"/>
    <w:pPr>
      <w:numPr>
        <w:ilvl w:val="0"/>
        <w:numId w:val="1"/>
      </w:numPr>
      <w:tabs>
        <w:tab w:val="left" w:pos="912"/>
      </w:tabs>
      <w:adjustRightInd w:val="0"/>
      <w:snapToGrid w:val="0"/>
      <w:spacing w:line="360" w:lineRule="auto"/>
      <w:jc w:val="both"/>
    </w:pPr>
    <w:rPr>
      <w:rFonts w:ascii="Times New Roman" w:hAnsi="Times New Roman" w:eastAsia="宋体" w:cstheme="minorBidi"/>
      <w:kern w:val="2"/>
      <w:sz w:val="24"/>
      <w:szCs w:val="24"/>
      <w:lang w:val="en-US" w:eastAsia="zh-CN" w:bidi="ar-SA"/>
    </w:rPr>
  </w:style>
  <w:style w:type="character" w:customStyle="1" w:styleId="66">
    <w:name w:val="正文文本缩进 字符1"/>
    <w:basedOn w:val="24"/>
    <w:link w:val="10"/>
    <w:qFormat/>
    <w:uiPriority w:val="0"/>
  </w:style>
  <w:style w:type="paragraph" w:customStyle="1" w:styleId="67">
    <w:name w:val="样式75"/>
    <w:basedOn w:val="68"/>
    <w:qFormat/>
    <w:uiPriority w:val="0"/>
  </w:style>
  <w:style w:type="paragraph" w:customStyle="1" w:styleId="68">
    <w:name w:val="样式42"/>
    <w:basedOn w:val="69"/>
    <w:qFormat/>
    <w:uiPriority w:val="0"/>
    <w:pPr>
      <w:spacing w:line="560" w:lineRule="exact"/>
      <w:ind w:firstLine="576"/>
    </w:pPr>
    <w:rPr>
      <w:spacing w:val="-6"/>
      <w:sz w:val="30"/>
      <w:szCs w:val="30"/>
    </w:rPr>
  </w:style>
  <w:style w:type="paragraph" w:customStyle="1" w:styleId="69">
    <w:name w:val="样式23"/>
    <w:basedOn w:val="70"/>
    <w:qFormat/>
    <w:uiPriority w:val="0"/>
    <w:pPr>
      <w:spacing w:line="460" w:lineRule="exact"/>
    </w:pPr>
    <w:rPr>
      <w:szCs w:val="24"/>
    </w:rPr>
  </w:style>
  <w:style w:type="paragraph" w:customStyle="1" w:styleId="70">
    <w:name w:val="样式13"/>
    <w:basedOn w:val="1"/>
    <w:qFormat/>
    <w:uiPriority w:val="0"/>
    <w:pPr>
      <w:spacing w:line="500" w:lineRule="exact"/>
      <w:ind w:firstLine="480"/>
    </w:pPr>
    <w:rPr>
      <w:rFonts w:ascii="宋体" w:hAnsi="宋体"/>
      <w:sz w:val="24"/>
      <w:szCs w:val="24"/>
    </w:rPr>
  </w:style>
  <w:style w:type="paragraph" w:customStyle="1" w:styleId="71">
    <w:name w:val="样式87"/>
    <w:basedOn w:val="67"/>
    <w:qFormat/>
    <w:uiPriority w:val="0"/>
    <w:pPr>
      <w:spacing w:line="600" w:lineRule="exact"/>
      <w:ind w:firstLine="536" w:firstLineChars="200"/>
    </w:pPr>
    <w:rPr>
      <w:rFonts w:ascii="宋体" w:hAnsi="宋体"/>
      <w:spacing w:val="-6"/>
      <w:sz w:val="28"/>
      <w:szCs w:val="28"/>
    </w:rPr>
  </w:style>
  <w:style w:type="paragraph" w:customStyle="1" w:styleId="72">
    <w:name w:val="序号1"/>
    <w:qFormat/>
    <w:locked/>
    <w:uiPriority w:val="0"/>
    <w:pPr>
      <w:numPr>
        <w:ilvl w:val="0"/>
        <w:numId w:val="2"/>
      </w:numPr>
      <w:tabs>
        <w:tab w:val="left" w:pos="284"/>
      </w:tabs>
      <w:adjustRightInd w:val="0"/>
      <w:snapToGrid w:val="0"/>
      <w:spacing w:line="360" w:lineRule="auto"/>
      <w:jc w:val="both"/>
    </w:pPr>
    <w:rPr>
      <w:rFonts w:ascii="Times New Roman" w:hAnsi="Times New Roman" w:eastAsia="宋体" w:cstheme="minorBidi"/>
      <w:kern w:val="2"/>
      <w:sz w:val="24"/>
      <w:szCs w:val="24"/>
      <w:lang w:val="en-US" w:eastAsia="zh-CN" w:bidi="ar-SA"/>
    </w:rPr>
  </w:style>
  <w:style w:type="paragraph" w:customStyle="1" w:styleId="73">
    <w:name w:val="序号1.1.1"/>
    <w:qFormat/>
    <w:uiPriority w:val="0"/>
    <w:pPr>
      <w:numPr>
        <w:ilvl w:val="0"/>
        <w:numId w:val="3"/>
      </w:numPr>
      <w:adjustRightInd w:val="0"/>
      <w:snapToGrid w:val="0"/>
      <w:spacing w:line="360" w:lineRule="auto"/>
      <w:ind w:firstLine="200" w:firstLineChars="200"/>
      <w:jc w:val="both"/>
    </w:pPr>
    <w:rPr>
      <w:rFonts w:ascii="Times New Roman" w:hAnsi="Times New Roman" w:eastAsia="宋体" w:cstheme="minorBidi"/>
      <w:kern w:val="2"/>
      <w:sz w:val="24"/>
      <w:szCs w:val="24"/>
      <w:lang w:val="en-US" w:eastAsia="zh-CN" w:bidi="ar-SA"/>
    </w:rPr>
  </w:style>
  <w:style w:type="paragraph" w:customStyle="1" w:styleId="74">
    <w:name w:val="序号1.1"/>
    <w:qFormat/>
    <w:uiPriority w:val="0"/>
    <w:pPr>
      <w:numPr>
        <w:ilvl w:val="0"/>
        <w:numId w:val="4"/>
      </w:numPr>
      <w:tabs>
        <w:tab w:val="left" w:pos="567"/>
      </w:tabs>
      <w:adjustRightInd w:val="0"/>
      <w:snapToGrid w:val="0"/>
      <w:spacing w:line="360" w:lineRule="auto"/>
      <w:ind w:firstLine="200" w:firstLineChars="200"/>
      <w:jc w:val="both"/>
    </w:pPr>
    <w:rPr>
      <w:rFonts w:ascii="Times New Roman" w:hAnsi="Times New Roman" w:eastAsia="宋体" w:cstheme="minorBidi"/>
      <w:kern w:val="2"/>
      <w:sz w:val="24"/>
      <w:szCs w:val="24"/>
      <w:lang w:val="en-US" w:eastAsia="zh-CN" w:bidi="ar-SA"/>
    </w:rPr>
  </w:style>
  <w:style w:type="paragraph" w:customStyle="1" w:styleId="75">
    <w:name w:val="公式"/>
    <w:next w:val="31"/>
    <w:qFormat/>
    <w:uiPriority w:val="0"/>
    <w:pPr>
      <w:adjustRightInd w:val="0"/>
      <w:snapToGrid w:val="0"/>
      <w:spacing w:line="360" w:lineRule="auto"/>
      <w:jc w:val="center"/>
    </w:pPr>
    <w:rPr>
      <w:rFonts w:ascii="Times New Roman" w:hAnsi="Times New Roman" w:eastAsia="宋体" w:cs="Times New Roman"/>
      <w:kern w:val="2"/>
      <w:sz w:val="24"/>
      <w:szCs w:val="24"/>
      <w:lang w:val="en-US" w:eastAsia="zh-CN" w:bidi="ar-SA"/>
    </w:rPr>
  </w:style>
  <w:style w:type="paragraph" w:customStyle="1" w:styleId="76">
    <w:name w:val="tu"/>
    <w:qFormat/>
    <w:uiPriority w:val="0"/>
    <w:pPr>
      <w:adjustRightInd w:val="0"/>
      <w:snapToGrid w:val="0"/>
      <w:jc w:val="center"/>
    </w:pPr>
    <w:rPr>
      <w:rFonts w:ascii="Times New Roman" w:hAnsi="Times New Roman" w:eastAsia="宋体" w:cs="Times New Roman"/>
      <w:sz w:val="28"/>
      <w:szCs w:val="24"/>
      <w:lang w:val="en-US" w:eastAsia="zh-CN" w:bidi="ar-SA"/>
    </w:rPr>
  </w:style>
  <w:style w:type="paragraph" w:customStyle="1" w:styleId="77">
    <w:name w:val="图签"/>
    <w:next w:val="30"/>
    <w:qFormat/>
    <w:uiPriority w:val="0"/>
    <w:pPr>
      <w:adjustRightInd w:val="0"/>
      <w:snapToGrid w:val="0"/>
      <w:spacing w:line="360" w:lineRule="auto"/>
      <w:jc w:val="center"/>
    </w:pPr>
    <w:rPr>
      <w:rFonts w:ascii="Times New Roman" w:hAnsi="Times New Roman" w:eastAsia="黑体" w:cs="Times New Roman"/>
      <w:kern w:val="2"/>
      <w:sz w:val="24"/>
      <w:lang w:val="en-US" w:eastAsia="zh-CN" w:bidi="ar-SA"/>
    </w:rPr>
  </w:style>
  <w:style w:type="paragraph" w:customStyle="1" w:styleId="78">
    <w:name w:val="ww"/>
    <w:basedOn w:val="7"/>
    <w:qFormat/>
    <w:uiPriority w:val="0"/>
    <w:pPr>
      <w:adjustRightInd w:val="0"/>
      <w:snapToGrid w:val="0"/>
      <w:spacing w:line="360" w:lineRule="auto"/>
      <w:ind w:firstLine="280" w:firstLineChars="100"/>
      <w:jc w:val="both"/>
    </w:pPr>
    <w:rPr>
      <w:rFonts w:eastAsia="仿宋_GB2312"/>
      <w:color w:val="000000"/>
      <w:sz w:val="28"/>
      <w:szCs w:val="28"/>
    </w:rPr>
  </w:style>
  <w:style w:type="paragraph" w:customStyle="1" w:styleId="79">
    <w:name w:val="三级目录"/>
    <w:basedOn w:val="1"/>
    <w:qFormat/>
    <w:uiPriority w:val="0"/>
    <w:pPr>
      <w:adjustRightInd w:val="0"/>
      <w:snapToGrid w:val="0"/>
      <w:spacing w:line="360" w:lineRule="auto"/>
      <w:ind w:firstLine="536" w:firstLineChars="200"/>
    </w:pPr>
    <w:rPr>
      <w:rFonts w:eastAsiaTheme="minorEastAsia"/>
      <w:color w:val="00B0F0"/>
      <w:spacing w:val="-6"/>
      <w:sz w:val="28"/>
      <w:szCs w:val="28"/>
    </w:rPr>
  </w:style>
  <w:style w:type="paragraph" w:customStyle="1" w:styleId="80">
    <w:name w:val="ZW"/>
    <w:basedOn w:val="1"/>
    <w:qFormat/>
    <w:uiPriority w:val="0"/>
    <w:pPr>
      <w:ind w:firstLine="510"/>
      <w:textAlignment w:val="baseline"/>
    </w:pPr>
    <w:rPr>
      <w:rFonts w:eastAsia="仿宋_GB2312"/>
      <w:color w:val="000000"/>
      <w:sz w:val="24"/>
      <w:szCs w:val="20"/>
      <w:lang w:val="en-GB"/>
    </w:rPr>
  </w:style>
  <w:style w:type="character" w:customStyle="1" w:styleId="81">
    <w:name w:val="标题 1 Char"/>
    <w:link w:val="2"/>
    <w:qFormat/>
    <w:uiPriority w:val="0"/>
    <w:rPr>
      <w:rFonts w:eastAsia="黑体"/>
      <w:b/>
      <w:bCs/>
      <w:kern w:val="44"/>
      <w:sz w:val="36"/>
      <w:szCs w:val="44"/>
    </w:rPr>
  </w:style>
  <w:style w:type="character" w:customStyle="1" w:styleId="82">
    <w:name w:val="标题 2 Char"/>
    <w:basedOn w:val="24"/>
    <w:link w:val="3"/>
    <w:qFormat/>
    <w:uiPriority w:val="0"/>
    <w:rPr>
      <w:rFonts w:ascii="Arial" w:hAnsi="Arial" w:eastAsia="黑体"/>
      <w:b/>
      <w:bCs/>
      <w:sz w:val="30"/>
      <w:szCs w:val="32"/>
    </w:rPr>
  </w:style>
  <w:style w:type="paragraph" w:customStyle="1" w:styleId="83">
    <w:name w:val="表签-纵向"/>
    <w:basedOn w:val="1"/>
    <w:next w:val="1"/>
    <w:qFormat/>
    <w:uiPriority w:val="0"/>
    <w:pPr>
      <w:tabs>
        <w:tab w:val="center" w:pos="4536"/>
      </w:tabs>
      <w:spacing w:before="50" w:beforeLines="50" w:after="50" w:afterLines="50" w:line="240" w:lineRule="auto"/>
      <w:ind w:firstLine="200" w:firstLineChars="200"/>
    </w:pPr>
    <w:rPr>
      <w:rFonts w:eastAsia="黑体"/>
      <w:szCs w:val="21"/>
    </w:rPr>
  </w:style>
  <w:style w:type="paragraph" w:customStyle="1" w:styleId="84">
    <w:name w:val="报告表格"/>
    <w:qFormat/>
    <w:uiPriority w:val="0"/>
    <w:pPr>
      <w:adjustRightInd w:val="0"/>
      <w:snapToGrid w:val="0"/>
      <w:jc w:val="center"/>
    </w:pPr>
    <w:rPr>
      <w:rFonts w:ascii="Times New Roman" w:hAnsi="Times New Roman" w:eastAsia="宋体" w:cs="Times New Roman"/>
      <w:kern w:val="2"/>
      <w:sz w:val="21"/>
      <w:lang w:val="en-US" w:eastAsia="zh-CN" w:bidi="ar-SA"/>
    </w:rPr>
  </w:style>
  <w:style w:type="paragraph" w:customStyle="1" w:styleId="85">
    <w:name w:val="段落"/>
    <w:basedOn w:val="1"/>
    <w:qFormat/>
    <w:uiPriority w:val="0"/>
    <w:pPr>
      <w:spacing w:line="360" w:lineRule="auto"/>
      <w:ind w:firstLine="540" w:firstLineChars="225"/>
    </w:pPr>
    <w:rPr>
      <w:rFonts w:ascii="仿宋_GB2312" w:hAnsi="Calibri" w:eastAsia="仿宋_GB2312"/>
      <w:sz w:val="24"/>
      <w:szCs w:val="24"/>
    </w:rPr>
  </w:style>
  <w:style w:type="paragraph" w:customStyle="1" w:styleId="86">
    <w:name w:val="序号03"/>
    <w:qFormat/>
    <w:uiPriority w:val="0"/>
    <w:pPr>
      <w:numPr>
        <w:ilvl w:val="0"/>
        <w:numId w:val="5"/>
      </w:numPr>
      <w:adjustRightInd w:val="0"/>
      <w:snapToGrid w:val="0"/>
      <w:spacing w:line="360" w:lineRule="auto"/>
      <w:ind w:firstLine="200" w:firstLineChars="200"/>
      <w:jc w:val="both"/>
    </w:pPr>
    <w:rPr>
      <w:rFonts w:ascii="Times New Roman" w:hAnsi="Times New Roman" w:eastAsia="宋体" w:cstheme="minorBidi"/>
      <w:kern w:val="2"/>
      <w:sz w:val="24"/>
      <w:szCs w:val="24"/>
      <w:lang w:val="en-US" w:eastAsia="zh-CN" w:bidi="ar-SA"/>
    </w:rPr>
  </w:style>
  <w:style w:type="paragraph" w:customStyle="1" w:styleId="87">
    <w:name w:val="表签-横向"/>
    <w:basedOn w:val="83"/>
    <w:next w:val="1"/>
    <w:qFormat/>
    <w:uiPriority w:val="0"/>
    <w:pPr>
      <w:tabs>
        <w:tab w:val="center" w:pos="6936"/>
      </w:tabs>
    </w:pPr>
  </w:style>
  <w:style w:type="character" w:customStyle="1" w:styleId="88">
    <w:name w:val="font12"/>
    <w:basedOn w:val="24"/>
    <w:qFormat/>
    <w:uiPriority w:val="0"/>
    <w:rPr>
      <w:rFonts w:hint="default" w:ascii="Times New Roman" w:hAnsi="Times New Roman" w:cs="Times New Roman"/>
      <w:color w:val="000000"/>
      <w:sz w:val="18"/>
      <w:szCs w:val="18"/>
      <w:u w:val="none"/>
    </w:rPr>
  </w:style>
  <w:style w:type="paragraph" w:customStyle="1" w:styleId="89">
    <w:name w:val="正文-居中"/>
    <w:basedOn w:val="1"/>
    <w:next w:val="31"/>
    <w:qFormat/>
    <w:uiPriority w:val="0"/>
    <w:pPr>
      <w:adjustRightInd/>
      <w:snapToGrid/>
      <w:ind w:firstLine="0" w:firstLineChars="0"/>
      <w:jc w:val="center"/>
    </w:pPr>
  </w:style>
  <w:style w:type="paragraph" w:customStyle="1" w:styleId="90">
    <w:name w:val="样式30"/>
    <w:basedOn w:val="69"/>
    <w:qFormat/>
    <w:uiPriority w:val="0"/>
  </w:style>
  <w:style w:type="character" w:customStyle="1" w:styleId="91">
    <w:name w:val="样式55 Char"/>
    <w:basedOn w:val="92"/>
    <w:link w:val="94"/>
    <w:qFormat/>
    <w:locked/>
    <w:uiPriority w:val="0"/>
  </w:style>
  <w:style w:type="character" w:customStyle="1" w:styleId="92">
    <w:name w:val="样式52 Char"/>
    <w:link w:val="93"/>
    <w:qFormat/>
    <w:locked/>
    <w:uiPriority w:val="0"/>
    <w:rPr>
      <w:rFonts w:ascii="宋体" w:hAnsi="宋体"/>
      <w:sz w:val="30"/>
      <w:szCs w:val="30"/>
    </w:rPr>
  </w:style>
  <w:style w:type="paragraph" w:customStyle="1" w:styleId="93">
    <w:name w:val="样式52"/>
    <w:basedOn w:val="1"/>
    <w:link w:val="92"/>
    <w:qFormat/>
    <w:uiPriority w:val="0"/>
    <w:pPr>
      <w:spacing w:line="560" w:lineRule="exact"/>
      <w:ind w:firstLine="600" w:firstLineChars="200"/>
    </w:pPr>
    <w:rPr>
      <w:rFonts w:ascii="宋体" w:hAnsi="宋体"/>
      <w:sz w:val="30"/>
      <w:szCs w:val="30"/>
    </w:rPr>
  </w:style>
  <w:style w:type="paragraph" w:customStyle="1" w:styleId="94">
    <w:name w:val="样式55"/>
    <w:basedOn w:val="93"/>
    <w:link w:val="91"/>
    <w:qFormat/>
    <w:uiPriority w:val="0"/>
  </w:style>
  <w:style w:type="character" w:customStyle="1" w:styleId="95">
    <w:name w:val="font121"/>
    <w:basedOn w:val="24"/>
    <w:qFormat/>
    <w:uiPriority w:val="0"/>
    <w:rPr>
      <w:rFonts w:hint="default" w:ascii="Times New Roman" w:hAnsi="Times New Roman" w:cs="Times New Roman"/>
      <w:color w:val="000000"/>
      <w:sz w:val="18"/>
      <w:szCs w:val="18"/>
      <w:u w:val="none"/>
      <w:vertAlign w:val="superscript"/>
    </w:rPr>
  </w:style>
  <w:style w:type="paragraph" w:customStyle="1" w:styleId="96">
    <w:name w:val="表格文字"/>
    <w:basedOn w:val="1"/>
    <w:next w:val="1"/>
    <w:qFormat/>
    <w:uiPriority w:val="0"/>
    <w:pPr>
      <w:spacing w:line="240" w:lineRule="atLeast"/>
      <w:jc w:val="center"/>
    </w:pPr>
    <w:rPr>
      <w:rFonts w:eastAsia="仿宋_GB2312"/>
      <w:szCs w:val="21"/>
    </w:rPr>
  </w:style>
  <w:style w:type="paragraph" w:styleId="97">
    <w:name w:val="List Paragraph"/>
    <w:basedOn w:val="1"/>
    <w:qFormat/>
    <w:uiPriority w:val="1"/>
    <w:pPr>
      <w:spacing w:before="4"/>
      <w:ind w:left="660" w:firstLine="559"/>
    </w:pPr>
    <w:rPr>
      <w:rFonts w:ascii="宋体" w:hAnsi="宋体" w:eastAsia="宋体" w:cs="宋体"/>
    </w:rPr>
  </w:style>
  <w:style w:type="paragraph" w:customStyle="1" w:styleId="98">
    <w:name w:val=" Char"/>
    <w:basedOn w:val="1"/>
    <w:qFormat/>
    <w:uiPriority w:val="0"/>
    <w:pPr>
      <w:snapToGrid w:val="0"/>
      <w:spacing w:line="360" w:lineRule="auto"/>
      <w:ind w:firstLine="200" w:firstLineChars="200"/>
    </w:pPr>
    <w:rPr>
      <w:rFonts w:eastAsia="仿宋_GB2312"/>
      <w:sz w:val="24"/>
    </w:rPr>
  </w:style>
  <w:style w:type="character" w:customStyle="1" w:styleId="99">
    <w:name w:val="font132"/>
    <w:basedOn w:val="24"/>
    <w:qFormat/>
    <w:uiPriority w:val="0"/>
    <w:rPr>
      <w:rFonts w:hint="default" w:ascii="Times New Roman" w:hAnsi="Times New Roman" w:cs="Times New Roman"/>
      <w:color w:val="000000"/>
      <w:sz w:val="20"/>
      <w:szCs w:val="20"/>
      <w:u w:val="none"/>
    </w:rPr>
  </w:style>
  <w:style w:type="character" w:customStyle="1" w:styleId="100">
    <w:name w:val="font13"/>
    <w:basedOn w:val="24"/>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157</Pages>
  <Words>69704</Words>
  <Characters>94336</Characters>
  <Lines>0</Lines>
  <Paragraphs>0</Paragraphs>
  <TotalTime>14</TotalTime>
  <ScaleCrop>false</ScaleCrop>
  <LinksUpToDate>false</LinksUpToDate>
  <CharactersWithSpaces>97516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2020-03-28T11:14:00Z</dcterms:created>
  <dc:creator>Administrator</dc:creator>
  <cp:lastModifiedBy>炼金☆术士</cp:lastModifiedBy>
  <cp:lastPrinted>2022-06-06T01:52:00Z</cp:lastPrinted>
  <dcterms:modified xsi:type="dcterms:W3CDTF">2023-12-05T13:36:54Z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E7B2D12CACF647F4BFA5A3FE876E26D8_13</vt:lpwstr>
  </property>
  <property fmtid="{D5CDD505-2E9C-101B-9397-08002B2CF9AE}" pid="4" name="commondata">
    <vt:lpwstr>eyJoZGlkIjoiYTU5NDlhYWM4NjlmNDg1NzQwMDIwOTgyNDc2MDg5ZTcifQ==</vt:lpwstr>
  </property>
</Properties>
</file>